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86C90" w:rsidRDefault="007875EC" w:rsidP="00787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 técnica Nº 14: 16/09/2020</w:t>
      </w:r>
    </w:p>
    <w:p w:rsidR="007875EC" w:rsidRDefault="007875EC" w:rsidP="007875EC">
      <w:pPr>
        <w:rPr>
          <w:rFonts w:ascii="Times New Roman" w:hAnsi="Times New Roman" w:cs="Times New Roman"/>
          <w:b/>
          <w:sz w:val="28"/>
          <w:szCs w:val="28"/>
        </w:rPr>
      </w:pPr>
    </w:p>
    <w:p w:rsidR="00E01286" w:rsidRPr="007E045D" w:rsidRDefault="00BB7B44" w:rsidP="00417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Análise de solo na camada de 0 a 20 cm, 0 a 10 cm de profundidade e local de coleta na projeção da copa x bulbo (irrigação)</w:t>
      </w:r>
      <w:r w:rsidR="007875EC">
        <w:rPr>
          <w:rFonts w:ascii="Times New Roman" w:hAnsi="Times New Roman" w:cs="Times New Roman"/>
          <w:b/>
          <w:sz w:val="28"/>
          <w:szCs w:val="28"/>
        </w:rPr>
        <w:t>, como interpretar? Que recomendações seguir?</w:t>
      </w:r>
    </w:p>
    <w:p w:rsidR="0030042B" w:rsidRPr="007E045D" w:rsidRDefault="0030042B" w:rsidP="00417D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6132" w:rsidRPr="00FF3C97" w:rsidRDefault="00B80EF8" w:rsidP="00B80EF8">
      <w:pPr>
        <w:rPr>
          <w:rFonts w:ascii="Times New Roman" w:hAnsi="Times New Roman" w:cs="Times New Roman"/>
          <w:b/>
          <w:sz w:val="24"/>
          <w:szCs w:val="24"/>
        </w:rPr>
      </w:pPr>
      <w:r w:rsidRPr="00FF3C97">
        <w:rPr>
          <w:rFonts w:ascii="Times New Roman" w:hAnsi="Times New Roman" w:cs="Times New Roman"/>
          <w:b/>
          <w:sz w:val="24"/>
          <w:szCs w:val="24"/>
        </w:rPr>
        <w:t>Equipe Técnica:</w:t>
      </w:r>
    </w:p>
    <w:p w:rsidR="00942919" w:rsidRDefault="00BB7B44" w:rsidP="0094291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Felip</w:t>
      </w:r>
      <w:r w:rsidR="00405D26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proofErr w:type="spellStart"/>
      <w:r w:rsidR="00405D26">
        <w:rPr>
          <w:rFonts w:ascii="Times New Roman" w:hAnsi="Times New Roman" w:cs="Times New Roman"/>
          <w:b/>
          <w:i/>
          <w:sz w:val="24"/>
          <w:szCs w:val="24"/>
        </w:rPr>
        <w:t>Santinato</w:t>
      </w:r>
      <w:proofErr w:type="spellEnd"/>
      <w:r w:rsidR="00405D26">
        <w:rPr>
          <w:rFonts w:ascii="Times New Roman" w:hAnsi="Times New Roman" w:cs="Times New Roman"/>
          <w:b/>
          <w:i/>
          <w:sz w:val="24"/>
          <w:szCs w:val="24"/>
        </w:rPr>
        <w:t xml:space="preserve">; Roberto </w:t>
      </w:r>
      <w:proofErr w:type="spellStart"/>
      <w:r w:rsidR="00405D26">
        <w:rPr>
          <w:rFonts w:ascii="Times New Roman" w:hAnsi="Times New Roman" w:cs="Times New Roman"/>
          <w:b/>
          <w:i/>
          <w:sz w:val="24"/>
          <w:szCs w:val="24"/>
        </w:rPr>
        <w:t>Santinato</w:t>
      </w:r>
      <w:proofErr w:type="spellEnd"/>
      <w:r w:rsidR="00405D26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>Victor Afonso Reis Gonçalves; Fábio Júnior e Danilo Gomes de Lima</w:t>
      </w:r>
    </w:p>
    <w:p w:rsidR="007E045D" w:rsidRDefault="007E045D" w:rsidP="0094291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5823" w:rsidRPr="00075823" w:rsidRDefault="00075823" w:rsidP="009429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Com relação a amostragem na camada de 0 a 10 cm e 0 a 20 cm de profundidade:</w:t>
      </w:r>
    </w:p>
    <w:p w:rsidR="0099387C" w:rsidRDefault="0099387C" w:rsidP="00BB7B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cafeicultura comumente aparecem ideias novas, porém algumas delas não fundamentadas na Pesquisa Cafeeira, sem prognóstico em Fazendas e com acompanhamento técnico devido.</w:t>
      </w:r>
    </w:p>
    <w:p w:rsidR="0099387C" w:rsidRDefault="00BB7B44" w:rsidP="00BB7B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delas é </w:t>
      </w:r>
      <w:r w:rsidR="0099387C">
        <w:rPr>
          <w:rFonts w:ascii="Times New Roman" w:hAnsi="Times New Roman" w:cs="Times New Roman"/>
          <w:sz w:val="24"/>
          <w:szCs w:val="24"/>
        </w:rPr>
        <w:t>basear as recomendações agronômicas com os resultados obtidos na ca</w:t>
      </w:r>
      <w:r>
        <w:rPr>
          <w:rFonts w:ascii="Times New Roman" w:hAnsi="Times New Roman" w:cs="Times New Roman"/>
          <w:sz w:val="24"/>
          <w:szCs w:val="24"/>
        </w:rPr>
        <w:t>mada de 0 a 10 cm. Por que fazer isso?</w:t>
      </w:r>
    </w:p>
    <w:p w:rsidR="0099387C" w:rsidRDefault="0099387C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Toda a Pesquisa Cafeeira realizada até o momento e suas respectivas recomendações foram baseadas </w:t>
      </w:r>
      <w:r w:rsidR="00BB7B44">
        <w:rPr>
          <w:rFonts w:ascii="Times New Roman" w:hAnsi="Times New Roman" w:cs="Times New Roman"/>
          <w:sz w:val="24"/>
          <w:szCs w:val="24"/>
        </w:rPr>
        <w:t>nos resultados de</w:t>
      </w:r>
      <w:r>
        <w:rPr>
          <w:rFonts w:ascii="Times New Roman" w:hAnsi="Times New Roman" w:cs="Times New Roman"/>
          <w:sz w:val="24"/>
          <w:szCs w:val="24"/>
        </w:rPr>
        <w:t xml:space="preserve"> coletadas de solo na camada de 0 a 20 cm de profundidade</w:t>
      </w:r>
      <w:r w:rsidR="00BB7B44">
        <w:rPr>
          <w:rFonts w:ascii="Times New Roman" w:hAnsi="Times New Roman" w:cs="Times New Roman"/>
          <w:sz w:val="24"/>
          <w:szCs w:val="24"/>
        </w:rPr>
        <w:t xml:space="preserve"> e, em algumas situações, em camadas de 20 a 40 cm, normalmente para outras finalidades</w:t>
      </w:r>
      <w:r>
        <w:rPr>
          <w:rFonts w:ascii="Times New Roman" w:hAnsi="Times New Roman" w:cs="Times New Roman"/>
          <w:sz w:val="24"/>
          <w:szCs w:val="24"/>
        </w:rPr>
        <w:t>. As faixas adequadas de fertilidade do solo para por exemplo: Índice de Saturação de bases (V%), potássio, cálcio, magnésio, fósforo e micronutrientes, foram baseadas em uma rede ampla de experimentos, de múltiplas safras, conduzidos ao longo do tempo, por diversas instituições de pesquisas</w:t>
      </w:r>
      <w:r w:rsidR="00BB7B44">
        <w:rPr>
          <w:rFonts w:ascii="Times New Roman" w:hAnsi="Times New Roman" w:cs="Times New Roman"/>
          <w:sz w:val="24"/>
          <w:szCs w:val="24"/>
        </w:rPr>
        <w:t xml:space="preserve"> (IBC, IAC, </w:t>
      </w:r>
      <w:proofErr w:type="spellStart"/>
      <w:r w:rsidR="00BB7B44">
        <w:rPr>
          <w:rFonts w:ascii="Times New Roman" w:hAnsi="Times New Roman" w:cs="Times New Roman"/>
          <w:sz w:val="24"/>
          <w:szCs w:val="24"/>
        </w:rPr>
        <w:t>Procafé</w:t>
      </w:r>
      <w:proofErr w:type="spellEnd"/>
      <w:r w:rsidR="00BB7B44">
        <w:rPr>
          <w:rFonts w:ascii="Times New Roman" w:hAnsi="Times New Roman" w:cs="Times New Roman"/>
          <w:sz w:val="24"/>
          <w:szCs w:val="24"/>
        </w:rPr>
        <w:t>, EPAMIG, Universidades e etc.)</w:t>
      </w:r>
      <w:r>
        <w:rPr>
          <w:rFonts w:ascii="Times New Roman" w:hAnsi="Times New Roman" w:cs="Times New Roman"/>
          <w:sz w:val="24"/>
          <w:szCs w:val="24"/>
        </w:rPr>
        <w:t xml:space="preserve">. Com base nesses estudos e posteriormente no prognóstico das lavouras (respostas </w:t>
      </w:r>
      <w:r w:rsidR="00BB7B44">
        <w:rPr>
          <w:rFonts w:ascii="Times New Roman" w:hAnsi="Times New Roman" w:cs="Times New Roman"/>
          <w:sz w:val="24"/>
          <w:szCs w:val="24"/>
        </w:rPr>
        <w:t>práticas à adubação e calagem), e algumas adaptações necessárias para regiões específicas (Santinato &amp; Santinato, 2020) é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BB7B44">
        <w:rPr>
          <w:rFonts w:ascii="Times New Roman" w:hAnsi="Times New Roman" w:cs="Times New Roman"/>
          <w:sz w:val="24"/>
          <w:szCs w:val="24"/>
        </w:rPr>
        <w:t>temos hoje ampla assertividade nas recomendações agronômicas de adubação e calagem no café.</w:t>
      </w:r>
    </w:p>
    <w:p w:rsidR="0099387C" w:rsidRDefault="0099387C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Nenhum resultado foi baseado em análises </w:t>
      </w:r>
      <w:r w:rsidR="00BB7B44">
        <w:rPr>
          <w:rFonts w:ascii="Times New Roman" w:hAnsi="Times New Roman" w:cs="Times New Roman"/>
          <w:sz w:val="24"/>
          <w:szCs w:val="24"/>
        </w:rPr>
        <w:t>da camada de</w:t>
      </w:r>
      <w:r>
        <w:rPr>
          <w:rFonts w:ascii="Times New Roman" w:hAnsi="Times New Roman" w:cs="Times New Roman"/>
          <w:sz w:val="24"/>
          <w:szCs w:val="24"/>
        </w:rPr>
        <w:t xml:space="preserve"> 0 a 10 cm, </w:t>
      </w:r>
      <w:proofErr w:type="gramStart"/>
      <w:r>
        <w:rPr>
          <w:rFonts w:ascii="Times New Roman" w:hAnsi="Times New Roman" w:cs="Times New Roman"/>
          <w:sz w:val="24"/>
          <w:szCs w:val="24"/>
        </w:rPr>
        <w:t>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portanto</w:t>
      </w:r>
      <w:r w:rsidR="00BB7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uma enorme chance de erro nas recomendações ao basear-se em resultados deste tipo de amostra, visto que não há pesquisa</w:t>
      </w:r>
      <w:r w:rsidR="00BB7B44">
        <w:rPr>
          <w:rFonts w:ascii="Times New Roman" w:hAnsi="Times New Roman" w:cs="Times New Roman"/>
          <w:sz w:val="24"/>
          <w:szCs w:val="24"/>
        </w:rPr>
        <w:t xml:space="preserve"> nem prática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B44">
        <w:rPr>
          <w:rFonts w:ascii="Times New Roman" w:hAnsi="Times New Roman" w:cs="Times New Roman"/>
          <w:sz w:val="24"/>
          <w:szCs w:val="24"/>
        </w:rPr>
        <w:t>que fundamente isto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87C" w:rsidRDefault="0099387C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Obviamente </w:t>
      </w:r>
      <w:r w:rsidR="00BB7B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camada de 0 a 10 cm </w:t>
      </w:r>
      <w:r w:rsidR="00BB7B44">
        <w:rPr>
          <w:rFonts w:ascii="Times New Roman" w:hAnsi="Times New Roman" w:cs="Times New Roman"/>
          <w:sz w:val="24"/>
          <w:szCs w:val="24"/>
        </w:rPr>
        <w:t>ocorrerá</w:t>
      </w:r>
      <w:r>
        <w:rPr>
          <w:rFonts w:ascii="Times New Roman" w:hAnsi="Times New Roman" w:cs="Times New Roman"/>
          <w:sz w:val="24"/>
          <w:szCs w:val="24"/>
        </w:rPr>
        <w:t xml:space="preserve"> maior quantidade de </w:t>
      </w:r>
      <w:r w:rsidR="00BB7B44">
        <w:rPr>
          <w:rFonts w:ascii="Times New Roman" w:hAnsi="Times New Roman" w:cs="Times New Roman"/>
          <w:sz w:val="24"/>
          <w:szCs w:val="24"/>
        </w:rPr>
        <w:t>fertilizantes</w:t>
      </w:r>
      <w:r>
        <w:rPr>
          <w:rFonts w:ascii="Times New Roman" w:hAnsi="Times New Roman" w:cs="Times New Roman"/>
          <w:sz w:val="24"/>
          <w:szCs w:val="24"/>
        </w:rPr>
        <w:t xml:space="preserve">, que são liberados lentamente, dependendo da estrutura do solo e do tipo de sistema de </w:t>
      </w:r>
      <w:r>
        <w:rPr>
          <w:rFonts w:ascii="Times New Roman" w:hAnsi="Times New Roman" w:cs="Times New Roman"/>
          <w:sz w:val="24"/>
          <w:szCs w:val="24"/>
        </w:rPr>
        <w:lastRenderedPageBreak/>
        <w:t>condução da lavoura, variável quanto ao espaçamento</w:t>
      </w:r>
      <w:r w:rsidR="00BB7B44">
        <w:rPr>
          <w:rFonts w:ascii="Times New Roman" w:hAnsi="Times New Roman" w:cs="Times New Roman"/>
          <w:sz w:val="24"/>
          <w:szCs w:val="24"/>
        </w:rPr>
        <w:t xml:space="preserve"> da lavoura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7B44">
        <w:rPr>
          <w:rFonts w:ascii="Times New Roman" w:hAnsi="Times New Roman" w:cs="Times New Roman"/>
          <w:sz w:val="24"/>
          <w:szCs w:val="24"/>
        </w:rPr>
        <w:t xml:space="preserve"> tipo de solo</w:t>
      </w:r>
      <w:r>
        <w:rPr>
          <w:rFonts w:ascii="Times New Roman" w:hAnsi="Times New Roman" w:cs="Times New Roman"/>
          <w:sz w:val="24"/>
          <w:szCs w:val="24"/>
        </w:rPr>
        <w:t xml:space="preserve"> e se </w:t>
      </w:r>
      <w:r w:rsidR="00BB7B44">
        <w:rPr>
          <w:rFonts w:ascii="Times New Roman" w:hAnsi="Times New Roman" w:cs="Times New Roman"/>
          <w:sz w:val="24"/>
          <w:szCs w:val="24"/>
        </w:rPr>
        <w:t xml:space="preserve">o cultivo é </w:t>
      </w:r>
      <w:r>
        <w:rPr>
          <w:rFonts w:ascii="Times New Roman" w:hAnsi="Times New Roman" w:cs="Times New Roman"/>
          <w:sz w:val="24"/>
          <w:szCs w:val="24"/>
        </w:rPr>
        <w:t>irrigado ou sequeiro. Normalmente os nutrientes pouco móveis no solo tais como Ca, P, Cu, Zn, entre outros</w:t>
      </w:r>
      <w:r w:rsidR="00BB7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vão se acumular em maior quantidade na camada de 0 a 10 cm do que na da 0 a 20 cm. Isso ocorre notadamente através da aplicação da calagem, principalmente com fontes que tenham PRNT ao redor de 80 a 85%. Caso se faça amostragens na camada de 0 a 5 cm ou até mesmo de 0 a 2 cm de profundidade, ocorrerá obviamente maior acúmulo desses nutrientes</w:t>
      </w:r>
      <w:r w:rsidR="00BB7B44">
        <w:rPr>
          <w:rFonts w:ascii="Times New Roman" w:hAnsi="Times New Roman" w:cs="Times New Roman"/>
          <w:sz w:val="24"/>
          <w:szCs w:val="24"/>
        </w:rPr>
        <w:t xml:space="preserve"> devido a deposição temporária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87C" w:rsidRDefault="0099387C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Ocorre que a camada de 0 a 10 cm f</w:t>
      </w:r>
      <w:r w:rsidR="000A79A9">
        <w:rPr>
          <w:rFonts w:ascii="Times New Roman" w:hAnsi="Times New Roman" w:cs="Times New Roman"/>
          <w:sz w:val="24"/>
          <w:szCs w:val="24"/>
        </w:rPr>
        <w:t>az parte da camada de 0 a 20 cm e o sistema radicular do cafeeiro absorve os nutrientes contidos predominantemente nessa faixa de profundidade</w:t>
      </w:r>
      <w:r w:rsidR="00BB7B44">
        <w:rPr>
          <w:rFonts w:ascii="Times New Roman" w:hAnsi="Times New Roman" w:cs="Times New Roman"/>
          <w:sz w:val="24"/>
          <w:szCs w:val="24"/>
        </w:rPr>
        <w:t xml:space="preserve"> (0 a 20 cm)</w:t>
      </w:r>
      <w:r w:rsidR="000A79A9">
        <w:rPr>
          <w:rFonts w:ascii="Times New Roman" w:hAnsi="Times New Roman" w:cs="Times New Roman"/>
          <w:sz w:val="24"/>
          <w:szCs w:val="24"/>
        </w:rPr>
        <w:t>.</w:t>
      </w:r>
      <w:r w:rsidR="008E10A7">
        <w:rPr>
          <w:rFonts w:ascii="Times New Roman" w:hAnsi="Times New Roman" w:cs="Times New Roman"/>
          <w:sz w:val="24"/>
          <w:szCs w:val="24"/>
        </w:rPr>
        <w:t xml:space="preserve"> Na calagem, por exemplo, o calcário adicionado, geralmente alcança somente até 25 cm de profundidade após meses de sua aplicação.</w:t>
      </w:r>
      <w:r w:rsidR="000A79A9">
        <w:rPr>
          <w:rFonts w:ascii="Times New Roman" w:hAnsi="Times New Roman" w:cs="Times New Roman"/>
          <w:sz w:val="24"/>
          <w:szCs w:val="24"/>
        </w:rPr>
        <w:t xml:space="preserve"> Os maiores teores de nutrientes pouco móveis, ou de nutrientes oriundos de fontes pouco solúveis, presentes na camada de 0 a 10 cm não podem servir de parâmetro de interpretação de análises de solo, visto que em sua maioria vão superestimar tais teores e conduzir a erros nas recomendações de adubação e calagem.</w:t>
      </w:r>
    </w:p>
    <w:p w:rsidR="00075823" w:rsidRDefault="00075823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não errar, deve-se continuar a fazer as coletas de solo na camada de 0 a 20 cm de profundidade e seguir as recomendações de adubação e calagem vigentes para a cultura. Caso queira melhorar suas recomendações, ao invés de gastar com análises extras na camada de 0 a 10 cm, pode-se fazer análise de tecido vegetal, no verão, para calibrar algumas adubações como por exemplo a nitrogenada e a de micronutrientes.</w:t>
      </w:r>
    </w:p>
    <w:p w:rsidR="00075823" w:rsidRPr="00075823" w:rsidRDefault="00075823" w:rsidP="0099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Com relação a amostragem na projeção da copa e no bulbo de irrigação de sistemas de gotejamento:</w:t>
      </w:r>
    </w:p>
    <w:p w:rsidR="000A79A9" w:rsidRDefault="000A79A9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82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análises realizadas no bulbo, em sistema</w:t>
      </w:r>
      <w:r w:rsidR="00075823">
        <w:rPr>
          <w:rFonts w:ascii="Times New Roman" w:hAnsi="Times New Roman" w:cs="Times New Roman"/>
          <w:sz w:val="24"/>
          <w:szCs w:val="24"/>
        </w:rPr>
        <w:t xml:space="preserve">s de irrigação via gotejamento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075823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ampla</w:t>
      </w:r>
      <w:r w:rsidR="00075823">
        <w:rPr>
          <w:rFonts w:ascii="Times New Roman" w:hAnsi="Times New Roman" w:cs="Times New Roman"/>
          <w:sz w:val="24"/>
          <w:szCs w:val="24"/>
        </w:rPr>
        <w:t xml:space="preserve"> e válida</w:t>
      </w:r>
      <w:r>
        <w:rPr>
          <w:rFonts w:ascii="Times New Roman" w:hAnsi="Times New Roman" w:cs="Times New Roman"/>
          <w:sz w:val="24"/>
          <w:szCs w:val="24"/>
        </w:rPr>
        <w:t xml:space="preserve"> finalidade</w:t>
      </w:r>
      <w:r w:rsidR="00075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visto que vão representar como está a fertilidade do solo na área em que se aplica parte das fertilizações, no caso,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823" w:rsidRDefault="000A79A9" w:rsidP="0099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fertilizações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quando aplicadas em baixo volume de água, em sistemas de gotejamento mal manejados, </w:t>
      </w:r>
      <w:r w:rsidR="00075823">
        <w:rPr>
          <w:rFonts w:ascii="Times New Roman" w:hAnsi="Times New Roman" w:cs="Times New Roman"/>
          <w:sz w:val="24"/>
          <w:szCs w:val="24"/>
        </w:rPr>
        <w:t xml:space="preserve">geralmente </w:t>
      </w:r>
      <w:r>
        <w:rPr>
          <w:rFonts w:ascii="Times New Roman" w:hAnsi="Times New Roman" w:cs="Times New Roman"/>
          <w:sz w:val="24"/>
          <w:szCs w:val="24"/>
        </w:rPr>
        <w:t xml:space="preserve">em períodos secos, </w:t>
      </w:r>
      <w:r w:rsidR="00075823">
        <w:rPr>
          <w:rFonts w:ascii="Times New Roman" w:hAnsi="Times New Roman" w:cs="Times New Roman"/>
          <w:sz w:val="24"/>
          <w:szCs w:val="24"/>
        </w:rPr>
        <w:t>podem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823">
        <w:rPr>
          <w:rFonts w:ascii="Times New Roman" w:hAnsi="Times New Roman" w:cs="Times New Roman"/>
          <w:sz w:val="24"/>
          <w:szCs w:val="24"/>
        </w:rPr>
        <w:t>acidificar</w:t>
      </w:r>
      <w:r>
        <w:rPr>
          <w:rFonts w:ascii="Times New Roman" w:hAnsi="Times New Roman" w:cs="Times New Roman"/>
          <w:sz w:val="24"/>
          <w:szCs w:val="24"/>
        </w:rPr>
        <w:t xml:space="preserve"> acentuadamente o solo.</w:t>
      </w:r>
      <w:r w:rsidR="0030393B">
        <w:rPr>
          <w:rFonts w:ascii="Times New Roman" w:hAnsi="Times New Roman" w:cs="Times New Roman"/>
          <w:sz w:val="24"/>
          <w:szCs w:val="24"/>
        </w:rPr>
        <w:t xml:space="preserve"> Isso ocorre devido a salinização do bulbo, com a aplicação excessiva de fertilizantes em um volume de água restrito.</w:t>
      </w:r>
      <w:r>
        <w:rPr>
          <w:rFonts w:ascii="Times New Roman" w:hAnsi="Times New Roman" w:cs="Times New Roman"/>
          <w:sz w:val="24"/>
          <w:szCs w:val="24"/>
        </w:rPr>
        <w:t xml:space="preserve"> Essa maior acidificação deve ser corrigida buscando neutraliza</w:t>
      </w:r>
      <w:r w:rsidR="00075823">
        <w:rPr>
          <w:rFonts w:ascii="Times New Roman" w:hAnsi="Times New Roman" w:cs="Times New Roman"/>
          <w:sz w:val="24"/>
          <w:szCs w:val="24"/>
        </w:rPr>
        <w:t>r a acidez excessiva utilizando</w:t>
      </w:r>
      <w:r>
        <w:rPr>
          <w:rFonts w:ascii="Times New Roman" w:hAnsi="Times New Roman" w:cs="Times New Roman"/>
          <w:sz w:val="24"/>
          <w:szCs w:val="24"/>
        </w:rPr>
        <w:t xml:space="preserve"> corretivos, </w:t>
      </w:r>
      <w:proofErr w:type="gramStart"/>
      <w:r>
        <w:rPr>
          <w:rFonts w:ascii="Times New Roman" w:hAnsi="Times New Roman" w:cs="Times New Roman"/>
          <w:sz w:val="24"/>
          <w:szCs w:val="24"/>
        </w:rPr>
        <w:t>aplicados 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também, como cloreto de Ca e Mg, ou ainda, de forma </w:t>
      </w:r>
      <w:r w:rsidR="00075823">
        <w:rPr>
          <w:rFonts w:ascii="Times New Roman" w:hAnsi="Times New Roman" w:cs="Times New Roman"/>
          <w:sz w:val="24"/>
          <w:szCs w:val="24"/>
        </w:rPr>
        <w:t>mais onerosa com nitrato de Ca.</w:t>
      </w:r>
    </w:p>
    <w:p w:rsidR="000A79A9" w:rsidRDefault="000A79A9" w:rsidP="000A7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 a necessidade de substituição</w:t>
      </w:r>
      <w:r w:rsidR="00F800EC">
        <w:rPr>
          <w:rFonts w:ascii="Times New Roman" w:hAnsi="Times New Roman" w:cs="Times New Roman"/>
          <w:sz w:val="24"/>
          <w:szCs w:val="24"/>
        </w:rPr>
        <w:t xml:space="preserve"> total</w:t>
      </w:r>
      <w:r>
        <w:rPr>
          <w:rFonts w:ascii="Times New Roman" w:hAnsi="Times New Roman" w:cs="Times New Roman"/>
          <w:sz w:val="24"/>
          <w:szCs w:val="24"/>
        </w:rPr>
        <w:t xml:space="preserve"> das fontes nitrogenadas convencionais como ureia, sulfato de amônio ou nitrato de amônio por fontes “menos acidificantes”,</w:t>
      </w:r>
      <w:r w:rsidR="00F800EC">
        <w:rPr>
          <w:rFonts w:ascii="Times New Roman" w:hAnsi="Times New Roman" w:cs="Times New Roman"/>
          <w:sz w:val="24"/>
          <w:szCs w:val="24"/>
        </w:rPr>
        <w:t xml:space="preserve"> como nitrato de Ca</w:t>
      </w:r>
      <w:r>
        <w:rPr>
          <w:rFonts w:ascii="Times New Roman" w:hAnsi="Times New Roman" w:cs="Times New Roman"/>
          <w:sz w:val="24"/>
          <w:szCs w:val="24"/>
        </w:rPr>
        <w:t xml:space="preserve"> e sim apenas </w:t>
      </w:r>
      <w:r w:rsidR="00F800E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correção periódica, em momentos específicos no ciclo de adubações, com aplicações de 5 a 10 L/ha de cloreto de Ca e Mg por exemplo, </w:t>
      </w:r>
      <w:r>
        <w:rPr>
          <w:rFonts w:ascii="Times New Roman" w:hAnsi="Times New Roman" w:cs="Times New Roman"/>
          <w:sz w:val="24"/>
          <w:szCs w:val="24"/>
        </w:rPr>
        <w:lastRenderedPageBreak/>
        <w:t>juntamente com a fonte convencional</w:t>
      </w:r>
      <w:r w:rsidR="00F800EC">
        <w:rPr>
          <w:rFonts w:ascii="Times New Roman" w:hAnsi="Times New Roman" w:cs="Times New Roman"/>
          <w:sz w:val="24"/>
          <w:szCs w:val="24"/>
        </w:rPr>
        <w:t xml:space="preserve"> via gotejamento</w:t>
      </w:r>
      <w:r>
        <w:rPr>
          <w:rFonts w:ascii="Times New Roman" w:hAnsi="Times New Roman" w:cs="Times New Roman"/>
          <w:sz w:val="24"/>
          <w:szCs w:val="24"/>
        </w:rPr>
        <w:t xml:space="preserve"> ou ainda, </w:t>
      </w:r>
      <w:r w:rsidR="009D3D3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kg/ha de </w:t>
      </w:r>
      <w:r w:rsidR="00F800EC">
        <w:rPr>
          <w:rFonts w:ascii="Times New Roman" w:hAnsi="Times New Roman" w:cs="Times New Roman"/>
          <w:sz w:val="24"/>
          <w:szCs w:val="24"/>
        </w:rPr>
        <w:t>cal magnesiana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00EC">
        <w:rPr>
          <w:rFonts w:ascii="Times New Roman" w:hAnsi="Times New Roman" w:cs="Times New Roman"/>
          <w:sz w:val="24"/>
          <w:szCs w:val="24"/>
        </w:rPr>
        <w:t xml:space="preserve">em proporção ao </w:t>
      </w:r>
      <w:r>
        <w:rPr>
          <w:rFonts w:ascii="Times New Roman" w:hAnsi="Times New Roman" w:cs="Times New Roman"/>
          <w:sz w:val="24"/>
          <w:szCs w:val="24"/>
        </w:rPr>
        <w:t>equivalente</w:t>
      </w:r>
      <w:r w:rsidR="00F800EC">
        <w:rPr>
          <w:rFonts w:ascii="Times New Roman" w:hAnsi="Times New Roman" w:cs="Times New Roman"/>
          <w:sz w:val="24"/>
          <w:szCs w:val="24"/>
        </w:rPr>
        <w:t xml:space="preserve"> de acidificação oriundo da aplicação</w:t>
      </w:r>
      <w:r>
        <w:rPr>
          <w:rFonts w:ascii="Times New Roman" w:hAnsi="Times New Roman" w:cs="Times New Roman"/>
          <w:sz w:val="24"/>
          <w:szCs w:val="24"/>
        </w:rPr>
        <w:t xml:space="preserve"> de N de ureia, sulfato de amônio ou nitrato de amônio.</w:t>
      </w:r>
      <w:r w:rsidR="00F800EC">
        <w:rPr>
          <w:rFonts w:ascii="Times New Roman" w:hAnsi="Times New Roman" w:cs="Times New Roman"/>
          <w:sz w:val="24"/>
          <w:szCs w:val="24"/>
        </w:rPr>
        <w:t xml:space="preserve"> A opção de correção com o cloreto de Ca e Mg é a menos onerosa via gotejamento e a aplicação de cal magnesiana em cobertura é a opção menor onerosa em cobertura.</w:t>
      </w:r>
    </w:p>
    <w:p w:rsidR="000A79A9" w:rsidRDefault="000A79A9" w:rsidP="000A7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correção periódica é determinada pela relação entre a quantidade de N a ser aplicada no ciclo atual, por exemplo: 300 kg/ha de N, e com o atual índice de saturação de bases (V%) presente nas análises de solo </w:t>
      </w:r>
      <w:r w:rsidRPr="00F800EC">
        <w:rPr>
          <w:rFonts w:ascii="Times New Roman" w:hAnsi="Times New Roman" w:cs="Times New Roman"/>
          <w:b/>
          <w:sz w:val="24"/>
          <w:szCs w:val="24"/>
        </w:rPr>
        <w:t>do bulbo</w:t>
      </w:r>
      <w:r>
        <w:rPr>
          <w:rFonts w:ascii="Times New Roman" w:hAnsi="Times New Roman" w:cs="Times New Roman"/>
          <w:sz w:val="24"/>
          <w:szCs w:val="24"/>
        </w:rPr>
        <w:t>, por exemplo 34%.</w:t>
      </w:r>
      <w:r w:rsidR="00075823">
        <w:rPr>
          <w:rFonts w:ascii="Times New Roman" w:hAnsi="Times New Roman" w:cs="Times New Roman"/>
          <w:sz w:val="24"/>
          <w:szCs w:val="24"/>
        </w:rPr>
        <w:t xml:space="preserve"> A correção deve buscar neutraliza a acidez atual presente no bulbo, vide o V% na análise, gerada pelas adubações anteriores, e também a acidificação que certamente ocorrerá aplicando-se o nitrogênio no ciclo atual.</w:t>
      </w:r>
      <w:r w:rsidR="00F800EC">
        <w:rPr>
          <w:rFonts w:ascii="Times New Roman" w:hAnsi="Times New Roman" w:cs="Times New Roman"/>
          <w:sz w:val="24"/>
          <w:szCs w:val="24"/>
        </w:rPr>
        <w:t xml:space="preserve"> Com base na análise de solo convencional, em faixa, na camada de 0 a 20 cm, se determina a dose de calagem, utilizando o calcário comum. Existem casos que o V% da amostra convencional acha-se adequado ou próximo disso e o V% do bulbo acha-se extremamente ácido. Veja que são correções completamente diferentes, baseadas em amostras distintas, por isso a importância de se ter esse detalhamento.</w:t>
      </w:r>
    </w:p>
    <w:p w:rsidR="00075823" w:rsidRDefault="00075823" w:rsidP="000A79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Isso ocorre somente em sistemas de gotejamento, do contrário em irrigação via pivô, onde a quantidade de água aplicada é maior e não ocorre a formação de bulbos restritivos. Efeitos deletérios às raízes do cafeeiro tem sido </w:t>
      </w:r>
      <w:proofErr w:type="gramStart"/>
      <w:r>
        <w:rPr>
          <w:rFonts w:ascii="Times New Roman" w:hAnsi="Times New Roman" w:cs="Times New Roman"/>
          <w:sz w:val="24"/>
          <w:szCs w:val="24"/>
        </w:rPr>
        <w:t>identificados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bulbos irrigados via gotejamento, mas não são gerais. Os efeitos ocorrem</w:t>
      </w:r>
      <w:r w:rsidR="0030393B">
        <w:rPr>
          <w:rFonts w:ascii="Times New Roman" w:hAnsi="Times New Roman" w:cs="Times New Roman"/>
          <w:sz w:val="24"/>
          <w:szCs w:val="24"/>
        </w:rPr>
        <w:t xml:space="preserve"> com maior </w:t>
      </w:r>
      <w:r w:rsidR="00CC0DA8">
        <w:rPr>
          <w:rFonts w:ascii="Times New Roman" w:hAnsi="Times New Roman" w:cs="Times New Roman"/>
          <w:sz w:val="24"/>
          <w:szCs w:val="24"/>
        </w:rPr>
        <w:t>frequência</w:t>
      </w:r>
      <w:r>
        <w:rPr>
          <w:rFonts w:ascii="Times New Roman" w:hAnsi="Times New Roman" w:cs="Times New Roman"/>
          <w:sz w:val="24"/>
          <w:szCs w:val="24"/>
        </w:rPr>
        <w:t xml:space="preserve"> quando a irrigação é mal manejada, como por exemplo:</w:t>
      </w:r>
    </w:p>
    <w:p w:rsidR="00075823" w:rsidRDefault="00075823" w:rsidP="0007582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Faz-se a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 w:rsidRPr="00075823">
        <w:rPr>
          <w:rFonts w:ascii="Times New Roman" w:hAnsi="Times New Roman" w:cs="Times New Roman"/>
          <w:sz w:val="24"/>
          <w:szCs w:val="24"/>
        </w:rPr>
        <w:t>, logo após a colheita (agosto/setembro), em solo seco, sem que haja retomada da capacidade de campo para em torno de 80 a 90%, para solos argilosos e arenosos, respectivamente.</w:t>
      </w:r>
    </w:p>
    <w:p w:rsidR="00F800EC" w:rsidRPr="00F800EC" w:rsidRDefault="00F800EC" w:rsidP="00F800EC">
      <w:pPr>
        <w:pStyle w:val="PargrafodaList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Geralmente quando se faz o estresse hídrico ou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supensão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temporária da irrigação para executar a colheita, quando se retoma a irrigação a capacidade de campo fica longe do adequado para se proceder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forma que há a necessidade de se aguardar as chuvas, em quantidade suficientemente capaz para elevar a capacidade de campo para 80-90%. Veja que com isso não há vantagem no uso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(adubações prévias de estimulo do cafeeiro), visto que após as chuvas pode-se fazer as adubações via cobertura.</w:t>
      </w:r>
    </w:p>
    <w:p w:rsidR="00075823" w:rsidRDefault="00075823" w:rsidP="0007582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Faz-se a aplicação de doses de N superiores à 60 kg/ha por vez,</w:t>
      </w:r>
      <w:r w:rsidR="00F800EC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F800EC"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 w:rsidR="00F80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forma constante.</w:t>
      </w:r>
    </w:p>
    <w:p w:rsidR="00075823" w:rsidRDefault="0030393B" w:rsidP="0007582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Irriga-se de forma insuficiente o café, notadamente no período de </w:t>
      </w:r>
      <w:r w:rsidR="00CC0DA8">
        <w:rPr>
          <w:rFonts w:ascii="Times New Roman" w:hAnsi="Times New Roman" w:cs="Times New Roman"/>
          <w:sz w:val="24"/>
          <w:szCs w:val="24"/>
        </w:rPr>
        <w:t>estiagem</w:t>
      </w:r>
      <w:r>
        <w:rPr>
          <w:rFonts w:ascii="Times New Roman" w:hAnsi="Times New Roman" w:cs="Times New Roman"/>
          <w:sz w:val="24"/>
          <w:szCs w:val="24"/>
        </w:rPr>
        <w:t>, o que restringe o sistema radicular a um pequeno espaço.</w:t>
      </w:r>
    </w:p>
    <w:p w:rsidR="0030393B" w:rsidRDefault="0030393B" w:rsidP="0030393B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Projetos de irrigação mal dimensionados que não conseguem atender a evapotranspiração diária em dias muito quentes pois foram baseados em dados não representativos da região.</w:t>
      </w:r>
    </w:p>
    <w:p w:rsidR="00F800EC" w:rsidRDefault="00F800EC" w:rsidP="0030393B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Falta de manutenção e inspeção do sistema de irrigação.</w:t>
      </w:r>
    </w:p>
    <w:p w:rsidR="0030393B" w:rsidRDefault="0030393B" w:rsidP="003039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Alguns </w:t>
      </w:r>
      <w:r w:rsidR="000048B0">
        <w:rPr>
          <w:rFonts w:ascii="Times New Roman" w:hAnsi="Times New Roman" w:cs="Times New Roman"/>
          <w:sz w:val="24"/>
          <w:szCs w:val="24"/>
        </w:rPr>
        <w:t>atribuem</w:t>
      </w:r>
      <w:r>
        <w:rPr>
          <w:rFonts w:ascii="Times New Roman" w:hAnsi="Times New Roman" w:cs="Times New Roman"/>
          <w:sz w:val="24"/>
          <w:szCs w:val="24"/>
        </w:rPr>
        <w:t xml:space="preserve"> a morte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radicelas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presentes no bulbo por efeito salino unicamente ao uso de fertilizantes convencionais, indicando a substituição de tais fontes por fontes “menos acidificantes”. Essa estratégia apresenta bons resultados, porém é bastante onerosa e não considera os aspectos de irrigação abordados anteriormente. Corrigir os aspectos de irrigação e iniciar aplicações corretivas usando o cloreto de Ca e Mg são soluções mais práticas e econômicas para solução do problema. É mais economicamente viável saber manejar o veículo de aplicação (irrigação), do que apenas substituir as fontes utilizadas.</w:t>
      </w:r>
      <w:r w:rsidR="00F800EC">
        <w:rPr>
          <w:rFonts w:ascii="Times New Roman" w:hAnsi="Times New Roman" w:cs="Times New Roman"/>
          <w:sz w:val="24"/>
          <w:szCs w:val="24"/>
        </w:rPr>
        <w:t xml:space="preserve"> Somente substituir a fonte sem que se tenha o </w:t>
      </w:r>
      <w:proofErr w:type="spellStart"/>
      <w:r w:rsidR="00F800E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F80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0E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F800EC">
        <w:rPr>
          <w:rFonts w:ascii="Times New Roman" w:hAnsi="Times New Roman" w:cs="Times New Roman"/>
          <w:sz w:val="24"/>
          <w:szCs w:val="24"/>
        </w:rPr>
        <w:t xml:space="preserve"> de </w:t>
      </w:r>
      <w:r w:rsidR="00192D52">
        <w:rPr>
          <w:rFonts w:ascii="Times New Roman" w:hAnsi="Times New Roman" w:cs="Times New Roman"/>
          <w:sz w:val="24"/>
          <w:szCs w:val="24"/>
        </w:rPr>
        <w:t xml:space="preserve">como irrigar </w:t>
      </w:r>
      <w:r w:rsidR="00F800EC">
        <w:rPr>
          <w:rFonts w:ascii="Times New Roman" w:hAnsi="Times New Roman" w:cs="Times New Roman"/>
          <w:sz w:val="24"/>
          <w:szCs w:val="24"/>
        </w:rPr>
        <w:t>o cafeeiro não garante os resultados pretendidos.</w:t>
      </w:r>
    </w:p>
    <w:p w:rsidR="0030393B" w:rsidRDefault="0030393B" w:rsidP="003039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Obviamente as fontes “menos acidificantes” acidificam menos o solo do que ureia, sulfato de amônio e nitrato de amônio, mas vejamos a seguir, com um exemplo de prognóstico que, quando se tem a irrigação devidamente manejada e se faz corretamente o balanço de nutrientes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não há a necessidade de substituição de fontes, podendo estar trabalhando com elas sem que haja tais problemas</w:t>
      </w:r>
      <w:r w:rsidR="00192D52">
        <w:rPr>
          <w:rFonts w:ascii="Times New Roman" w:hAnsi="Times New Roman" w:cs="Times New Roman"/>
          <w:sz w:val="24"/>
          <w:szCs w:val="24"/>
        </w:rPr>
        <w:t>, mantendo os custos de produção compatíveis com o bolso do cafeicultor</w:t>
      </w:r>
      <w:r>
        <w:rPr>
          <w:rFonts w:ascii="Times New Roman" w:hAnsi="Times New Roman" w:cs="Times New Roman"/>
          <w:sz w:val="24"/>
          <w:szCs w:val="24"/>
        </w:rPr>
        <w:t>. Para isso deve-se procurar seguir as seguintes premissas</w:t>
      </w:r>
      <w:r w:rsidR="00D0204A">
        <w:rPr>
          <w:rFonts w:ascii="Times New Roman" w:hAnsi="Times New Roman" w:cs="Times New Roman"/>
          <w:sz w:val="24"/>
          <w:szCs w:val="24"/>
        </w:rPr>
        <w:t xml:space="preserve"> para adubação de cafeeiros cultivados sobre sistema de gotejamento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2D52" w:rsidRDefault="00D0204A" w:rsidP="003C06E7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D52">
        <w:rPr>
          <w:rFonts w:ascii="Times New Roman" w:hAnsi="Times New Roman" w:cs="Times New Roman"/>
          <w:sz w:val="24"/>
          <w:szCs w:val="24"/>
        </w:rPr>
        <w:t xml:space="preserve">Fazer as </w:t>
      </w:r>
      <w:proofErr w:type="spellStart"/>
      <w:r w:rsidRPr="00192D52">
        <w:rPr>
          <w:rFonts w:ascii="Times New Roman" w:hAnsi="Times New Roman" w:cs="Times New Roman"/>
          <w:sz w:val="24"/>
          <w:szCs w:val="24"/>
        </w:rPr>
        <w:t>fertirrigações</w:t>
      </w:r>
      <w:proofErr w:type="spellEnd"/>
      <w:r w:rsidRPr="00192D52">
        <w:rPr>
          <w:rFonts w:ascii="Times New Roman" w:hAnsi="Times New Roman" w:cs="Times New Roman"/>
          <w:sz w:val="24"/>
          <w:szCs w:val="24"/>
        </w:rPr>
        <w:t xml:space="preserve"> nos períodos de agosto </w:t>
      </w:r>
      <w:proofErr w:type="gramStart"/>
      <w:r w:rsidRPr="00192D5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92D52">
        <w:rPr>
          <w:rFonts w:ascii="Times New Roman" w:hAnsi="Times New Roman" w:cs="Times New Roman"/>
          <w:sz w:val="24"/>
          <w:szCs w:val="24"/>
        </w:rPr>
        <w:t xml:space="preserve"> dezembro, iniciando-se somente se a capacidade de campo estiver entre 80 e 90%, para solos argilosos e arenosos respectivamente, utilizando no máximo </w:t>
      </w:r>
      <w:r w:rsidR="00192D52" w:rsidRPr="00192D52">
        <w:rPr>
          <w:rFonts w:ascii="Times New Roman" w:hAnsi="Times New Roman" w:cs="Times New Roman"/>
          <w:sz w:val="24"/>
          <w:szCs w:val="24"/>
        </w:rPr>
        <w:t>5</w:t>
      </w:r>
      <w:r w:rsidRPr="00192D52">
        <w:rPr>
          <w:rFonts w:ascii="Times New Roman" w:hAnsi="Times New Roman" w:cs="Times New Roman"/>
          <w:sz w:val="24"/>
          <w:szCs w:val="24"/>
        </w:rPr>
        <w:t>0 kg/ha de N por vez</w:t>
      </w:r>
      <w:r w:rsidR="00192D52">
        <w:rPr>
          <w:rFonts w:ascii="Times New Roman" w:hAnsi="Times New Roman" w:cs="Times New Roman"/>
          <w:sz w:val="24"/>
          <w:szCs w:val="24"/>
        </w:rPr>
        <w:t>, para sistema de gotejamento e de 100 kg/ha por vez, para sistema de pivô LEPA (Doses Limite)</w:t>
      </w:r>
      <w:r w:rsidRPr="00192D52">
        <w:rPr>
          <w:rFonts w:ascii="Times New Roman" w:hAnsi="Times New Roman" w:cs="Times New Roman"/>
          <w:sz w:val="24"/>
          <w:szCs w:val="24"/>
        </w:rPr>
        <w:t>, em lavoura</w:t>
      </w:r>
      <w:r w:rsidR="00192D52">
        <w:rPr>
          <w:rFonts w:ascii="Times New Roman" w:hAnsi="Times New Roman" w:cs="Times New Roman"/>
          <w:sz w:val="24"/>
          <w:szCs w:val="24"/>
        </w:rPr>
        <w:t>s adultas (acima de 30 meses). Para lavouras em formação também se tem as Doses limites estipuladas pela Pesquisa Cafeeira, sendo elas:</w:t>
      </w:r>
    </w:p>
    <w:p w:rsidR="00192D52" w:rsidRPr="00192D52" w:rsidRDefault="00192D52" w:rsidP="00192D5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52">
        <w:rPr>
          <w:rFonts w:ascii="Times New Roman" w:hAnsi="Times New Roman" w:cs="Times New Roman"/>
          <w:b/>
          <w:sz w:val="24"/>
          <w:szCs w:val="24"/>
        </w:rPr>
        <w:t>Por Gotejamento:</w:t>
      </w:r>
    </w:p>
    <w:p w:rsidR="00192D52" w:rsidRDefault="00192D52" w:rsidP="00192D5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a 3 meses: 5 kg/ha de N</w:t>
      </w:r>
    </w:p>
    <w:p w:rsidR="00192D52" w:rsidRDefault="00192D52" w:rsidP="00192D5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 12 meses: 10 kg/ha de N</w:t>
      </w:r>
    </w:p>
    <w:p w:rsidR="00192D52" w:rsidRDefault="00192D52" w:rsidP="00192D5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 17 meses: 30 kg/ha de N</w:t>
      </w:r>
    </w:p>
    <w:p w:rsidR="00192D52" w:rsidRDefault="00192D52" w:rsidP="00192D5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 30 meses: 40 kg/ha de N</w:t>
      </w:r>
    </w:p>
    <w:p w:rsidR="00192D52" w:rsidRPr="0095716D" w:rsidRDefault="00192D52" w:rsidP="00192D5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16D">
        <w:rPr>
          <w:rFonts w:ascii="Times New Roman" w:hAnsi="Times New Roman" w:cs="Times New Roman"/>
          <w:b/>
          <w:sz w:val="24"/>
          <w:szCs w:val="24"/>
        </w:rPr>
        <w:t>Por Pivô LEPA:</w:t>
      </w:r>
    </w:p>
    <w:p w:rsidR="00192D52" w:rsidRDefault="00192D52" w:rsidP="00192D5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a 3 meses: 5 kg/ha de N</w:t>
      </w:r>
    </w:p>
    <w:p w:rsidR="00192D52" w:rsidRDefault="00192D52" w:rsidP="00192D5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 9 meses: 10 kg/ha de N</w:t>
      </w:r>
    </w:p>
    <w:p w:rsidR="0095716D" w:rsidRDefault="00192D52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5716D">
        <w:rPr>
          <w:rFonts w:ascii="Times New Roman" w:hAnsi="Times New Roman" w:cs="Times New Roman"/>
          <w:sz w:val="24"/>
          <w:szCs w:val="24"/>
        </w:rPr>
        <w:t xml:space="preserve"> a 15 meses: 20 kg/ha de N</w:t>
      </w:r>
    </w:p>
    <w:p w:rsidR="0095716D" w:rsidRDefault="0095716D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 30 meses: 50 kg/ha de N</w:t>
      </w:r>
    </w:p>
    <w:p w:rsidR="0095716D" w:rsidRDefault="0095716D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5716D" w:rsidRDefault="0095716D" w:rsidP="0095716D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de adubações fosfatadas as doses não podem ultrapassar 150 kg/ha de P</w:t>
      </w:r>
      <w:r w:rsidRPr="0095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716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via cobertura e 50 kg/ha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lavouras adultas. No caso de lavouras em formação as Doses limites são 25 kg/ha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7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716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716D" w:rsidRDefault="0095716D" w:rsidP="00957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16D" w:rsidRDefault="0095716D" w:rsidP="0095716D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caso de adubações Potássicas, </w:t>
      </w:r>
      <w:proofErr w:type="gramStart"/>
      <w:r>
        <w:rPr>
          <w:rFonts w:ascii="Times New Roman" w:hAnsi="Times New Roman" w:cs="Times New Roman"/>
          <w:sz w:val="24"/>
          <w:szCs w:val="24"/>
        </w:rPr>
        <w:t>em lavoura adultas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Dose Limite de cobertura é 150 kg/ha de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O, 80 kg/ha de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</w:t>
      </w:r>
      <w:r w:rsidR="00356711">
        <w:rPr>
          <w:rFonts w:ascii="Times New Roman" w:hAnsi="Times New Roman" w:cs="Times New Roman"/>
          <w:sz w:val="24"/>
          <w:szCs w:val="24"/>
        </w:rPr>
        <w:t>tirrigação</w:t>
      </w:r>
      <w:proofErr w:type="spellEnd"/>
      <w:r w:rsidR="00356711">
        <w:rPr>
          <w:rFonts w:ascii="Times New Roman" w:hAnsi="Times New Roman" w:cs="Times New Roman"/>
          <w:sz w:val="24"/>
          <w:szCs w:val="24"/>
        </w:rPr>
        <w:t xml:space="preserve"> com pivô LEPA e de 25</w:t>
      </w:r>
      <w:r>
        <w:rPr>
          <w:rFonts w:ascii="Times New Roman" w:hAnsi="Times New Roman" w:cs="Times New Roman"/>
          <w:sz w:val="24"/>
          <w:szCs w:val="24"/>
        </w:rPr>
        <w:t xml:space="preserve"> kg/ha de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gotejamento. Para lavouras jovens, têm-se as seguintes Doses Limites:</w:t>
      </w:r>
      <w:r w:rsidRPr="00957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16D" w:rsidRPr="00192D52" w:rsidRDefault="0095716D" w:rsidP="0095716D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52">
        <w:rPr>
          <w:rFonts w:ascii="Times New Roman" w:hAnsi="Times New Roman" w:cs="Times New Roman"/>
          <w:b/>
          <w:sz w:val="24"/>
          <w:szCs w:val="24"/>
        </w:rPr>
        <w:t>Por Gotejamento:</w:t>
      </w:r>
    </w:p>
    <w:p w:rsidR="0095716D" w:rsidRDefault="0095716D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a </w:t>
      </w:r>
      <w:r w:rsidR="003567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meses: </w:t>
      </w:r>
      <w:r w:rsidR="003567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kg/h</w:t>
      </w:r>
      <w:r w:rsidR="00356711">
        <w:rPr>
          <w:rFonts w:ascii="Times New Roman" w:hAnsi="Times New Roman" w:cs="Times New Roman"/>
          <w:sz w:val="24"/>
          <w:szCs w:val="24"/>
        </w:rPr>
        <w:t xml:space="preserve">a de </w:t>
      </w:r>
      <w:r w:rsidR="00356711">
        <w:rPr>
          <w:rFonts w:ascii="Times New Roman" w:hAnsi="Times New Roman" w:cs="Times New Roman"/>
          <w:sz w:val="24"/>
          <w:szCs w:val="24"/>
        </w:rPr>
        <w:t>K</w:t>
      </w:r>
      <w:r w:rsidR="003567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6711">
        <w:rPr>
          <w:rFonts w:ascii="Times New Roman" w:hAnsi="Times New Roman" w:cs="Times New Roman"/>
          <w:sz w:val="24"/>
          <w:szCs w:val="24"/>
        </w:rPr>
        <w:t>O</w:t>
      </w:r>
    </w:p>
    <w:p w:rsidR="00356711" w:rsidRDefault="00356711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 12 meses: 5 kg/ha de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95716D" w:rsidRDefault="00356711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5716D">
        <w:rPr>
          <w:rFonts w:ascii="Times New Roman" w:hAnsi="Times New Roman" w:cs="Times New Roman"/>
          <w:sz w:val="24"/>
          <w:szCs w:val="24"/>
        </w:rPr>
        <w:t xml:space="preserve"> a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5716D">
        <w:rPr>
          <w:rFonts w:ascii="Times New Roman" w:hAnsi="Times New Roman" w:cs="Times New Roman"/>
          <w:sz w:val="24"/>
          <w:szCs w:val="24"/>
        </w:rPr>
        <w:t xml:space="preserve"> meses: 10 kg/ha de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95716D" w:rsidRDefault="00356711" w:rsidP="0095716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5716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95716D">
        <w:rPr>
          <w:rFonts w:ascii="Times New Roman" w:hAnsi="Times New Roman" w:cs="Times New Roman"/>
          <w:sz w:val="24"/>
          <w:szCs w:val="24"/>
        </w:rPr>
        <w:t xml:space="preserve">meses: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5716D">
        <w:rPr>
          <w:rFonts w:ascii="Times New Roman" w:hAnsi="Times New Roman" w:cs="Times New Roman"/>
          <w:sz w:val="24"/>
          <w:szCs w:val="24"/>
        </w:rPr>
        <w:t xml:space="preserve"> kg/h</w:t>
      </w:r>
      <w:r>
        <w:rPr>
          <w:rFonts w:ascii="Times New Roman" w:hAnsi="Times New Roman" w:cs="Times New Roman"/>
          <w:sz w:val="24"/>
          <w:szCs w:val="24"/>
        </w:rPr>
        <w:t xml:space="preserve">a de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95716D" w:rsidRPr="0095716D" w:rsidRDefault="0095716D" w:rsidP="0095716D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16D">
        <w:rPr>
          <w:rFonts w:ascii="Times New Roman" w:hAnsi="Times New Roman" w:cs="Times New Roman"/>
          <w:b/>
          <w:sz w:val="24"/>
          <w:szCs w:val="24"/>
        </w:rPr>
        <w:t>Por Pivô LEPA:</w:t>
      </w:r>
    </w:p>
    <w:p w:rsidR="00356711" w:rsidRDefault="00356711" w:rsidP="0035671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a 3 meses: 0 kg/ha de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356711" w:rsidRDefault="00356711" w:rsidP="0035671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 9 meses: 5 kg/ha de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356711" w:rsidRDefault="00356711" w:rsidP="0035671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meses: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kg/ha de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95716D" w:rsidRDefault="00356711" w:rsidP="0035671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a 30 meses: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kg/ha de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356711" w:rsidRPr="00356711" w:rsidRDefault="00356711" w:rsidP="0035671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0204A" w:rsidRDefault="00D0204A" w:rsidP="003C06E7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D52">
        <w:rPr>
          <w:rFonts w:ascii="Times New Roman" w:hAnsi="Times New Roman" w:cs="Times New Roman"/>
          <w:sz w:val="24"/>
          <w:szCs w:val="24"/>
        </w:rPr>
        <w:t>No verão, fazer duas a quatro adubações de cobertura com doses que não ultrapassem 1</w:t>
      </w:r>
      <w:r w:rsidR="0095716D">
        <w:rPr>
          <w:rFonts w:ascii="Times New Roman" w:hAnsi="Times New Roman" w:cs="Times New Roman"/>
          <w:sz w:val="24"/>
          <w:szCs w:val="24"/>
        </w:rPr>
        <w:t>2</w:t>
      </w:r>
      <w:r w:rsidRPr="00192D52">
        <w:rPr>
          <w:rFonts w:ascii="Times New Roman" w:hAnsi="Times New Roman" w:cs="Times New Roman"/>
          <w:sz w:val="24"/>
          <w:szCs w:val="24"/>
        </w:rPr>
        <w:t>0 kg/ha de N por vez</w:t>
      </w:r>
      <w:r w:rsidR="0095716D">
        <w:rPr>
          <w:rFonts w:ascii="Times New Roman" w:hAnsi="Times New Roman" w:cs="Times New Roman"/>
          <w:sz w:val="24"/>
          <w:szCs w:val="24"/>
        </w:rPr>
        <w:t xml:space="preserve"> (Dose limite)</w:t>
      </w:r>
      <w:r w:rsidRPr="00192D52">
        <w:rPr>
          <w:rFonts w:ascii="Times New Roman" w:hAnsi="Times New Roman" w:cs="Times New Roman"/>
          <w:sz w:val="24"/>
          <w:szCs w:val="24"/>
        </w:rPr>
        <w:t>.</w:t>
      </w:r>
    </w:p>
    <w:p w:rsidR="0095716D" w:rsidRPr="00192D52" w:rsidRDefault="0095716D" w:rsidP="003C06E7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se faça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durante o verão, entre as adubações de cobertura deve-se dar o intervalo de 25 a 30 dias após a adubação de cobertura.</w:t>
      </w:r>
    </w:p>
    <w:p w:rsidR="00D0204A" w:rsidRDefault="00D0204A" w:rsidP="0030393B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março em diante iniciar novo grupo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fertirrigações</w:t>
      </w:r>
      <w:proofErr w:type="spellEnd"/>
      <w:r>
        <w:rPr>
          <w:rFonts w:ascii="Times New Roman" w:hAnsi="Times New Roman" w:cs="Times New Roman"/>
          <w:sz w:val="24"/>
          <w:szCs w:val="24"/>
        </w:rPr>
        <w:t>, seguindo as mesmas premissas.</w:t>
      </w:r>
    </w:p>
    <w:p w:rsidR="00D0204A" w:rsidRDefault="00D0204A" w:rsidP="0030393B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Buscar atender a demanda de N para o cafeeiro com base na extração e composição química para vegetação e frutificação, aplicando 72% do N total exigido até a fase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sendo variável esse período de acordo com a região (clima) e cultivar (maturação dos frutos)</w:t>
      </w:r>
      <w:r w:rsidR="00CC0DA8">
        <w:rPr>
          <w:rFonts w:ascii="Times New Roman" w:hAnsi="Times New Roman" w:cs="Times New Roman"/>
          <w:sz w:val="24"/>
          <w:szCs w:val="24"/>
        </w:rPr>
        <w:t xml:space="preserve"> (Santinato &amp; Santinato, 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42A0" w:rsidRDefault="003842A0" w:rsidP="00CC0DA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Quem determina o número de adubações de cobertura e o número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fertirigações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 estratégia de parcelamento, baseada na demanda total do nutriente, tempo </w:t>
      </w:r>
      <w:r w:rsidR="0095716D">
        <w:rPr>
          <w:rFonts w:ascii="Times New Roman" w:hAnsi="Times New Roman" w:cs="Times New Roman"/>
          <w:sz w:val="24"/>
          <w:szCs w:val="24"/>
        </w:rPr>
        <w:t>hábil de aplicação, intervalo de parcelamentos e Doses Limites.</w:t>
      </w:r>
    </w:p>
    <w:p w:rsidR="00356711" w:rsidRDefault="00356711" w:rsidP="00CC0DA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Proceder a calagem corretamente após a colheita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elevar o Índice de Saturação de Bases para 60%</w:t>
      </w:r>
    </w:p>
    <w:p w:rsidR="00634466" w:rsidRDefault="00634466" w:rsidP="00634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466" w:rsidRPr="00634466" w:rsidRDefault="00634466" w:rsidP="00634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466">
        <w:rPr>
          <w:rFonts w:ascii="Times New Roman" w:hAnsi="Times New Roman" w:cs="Times New Roman"/>
          <w:b/>
          <w:sz w:val="24"/>
          <w:szCs w:val="24"/>
        </w:rPr>
        <w:t>Exemplos:</w:t>
      </w:r>
    </w:p>
    <w:p w:rsidR="003842A0" w:rsidRDefault="00CC0DA8" w:rsidP="00F67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A8">
        <w:rPr>
          <w:rFonts w:ascii="Times New Roman" w:hAnsi="Times New Roman" w:cs="Times New Roman"/>
          <w:b/>
          <w:sz w:val="24"/>
          <w:szCs w:val="24"/>
        </w:rPr>
        <w:t xml:space="preserve">Prognóstico: Patos de Minas, MG, Catuaí </w:t>
      </w:r>
      <w:proofErr w:type="gramStart"/>
      <w:r w:rsidRPr="00CC0DA8">
        <w:rPr>
          <w:rFonts w:ascii="Times New Roman" w:hAnsi="Times New Roman" w:cs="Times New Roman"/>
          <w:b/>
          <w:sz w:val="24"/>
          <w:szCs w:val="24"/>
        </w:rPr>
        <w:t>irrigado via</w:t>
      </w:r>
      <w:proofErr w:type="gramEnd"/>
      <w:r w:rsidRPr="00CC0DA8">
        <w:rPr>
          <w:rFonts w:ascii="Times New Roman" w:hAnsi="Times New Roman" w:cs="Times New Roman"/>
          <w:b/>
          <w:sz w:val="24"/>
          <w:szCs w:val="24"/>
        </w:rPr>
        <w:t xml:space="preserve"> gotejamento, 200 ha, média de 48 sacas/ha (10 safras), vinda de carga alta, </w:t>
      </w:r>
      <w:r w:rsidR="00634466">
        <w:rPr>
          <w:rFonts w:ascii="Times New Roman" w:hAnsi="Times New Roman" w:cs="Times New Roman"/>
          <w:b/>
          <w:sz w:val="24"/>
          <w:szCs w:val="24"/>
        </w:rPr>
        <w:t xml:space="preserve">com </w:t>
      </w:r>
      <w:r w:rsidRPr="00CC0DA8">
        <w:rPr>
          <w:rFonts w:ascii="Times New Roman" w:hAnsi="Times New Roman" w:cs="Times New Roman"/>
          <w:b/>
          <w:sz w:val="24"/>
          <w:szCs w:val="24"/>
        </w:rPr>
        <w:t>média de 60 sacas/ha em 2020. Análises de solo de 28/8/2020.</w:t>
      </w:r>
    </w:p>
    <w:p w:rsidR="00AA120F" w:rsidRDefault="00AA120F" w:rsidP="00F67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20F" w:rsidRDefault="00AA120F" w:rsidP="00F67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20F" w:rsidRPr="007875EC" w:rsidRDefault="00AA120F" w:rsidP="00F67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81A" w:rsidRDefault="004E52BA" w:rsidP="00F678D1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81A">
        <w:rPr>
          <w:rFonts w:ascii="Times New Roman" w:hAnsi="Times New Roman" w:cs="Times New Roman"/>
          <w:sz w:val="24"/>
          <w:szCs w:val="24"/>
        </w:rPr>
        <w:t>Diferenças</w:t>
      </w:r>
      <w:r>
        <w:rPr>
          <w:rFonts w:ascii="Times New Roman" w:hAnsi="Times New Roman" w:cs="Times New Roman"/>
          <w:sz w:val="24"/>
          <w:szCs w:val="24"/>
        </w:rPr>
        <w:t xml:space="preserve"> no Índice de saturação de bases (V%)</w:t>
      </w:r>
      <w:r w:rsidR="00CF081A">
        <w:rPr>
          <w:rFonts w:ascii="Times New Roman" w:hAnsi="Times New Roman" w:cs="Times New Roman"/>
          <w:sz w:val="24"/>
          <w:szCs w:val="24"/>
        </w:rPr>
        <w:t xml:space="preserve"> entre </w:t>
      </w:r>
      <w:r w:rsidR="00D0204A">
        <w:rPr>
          <w:rFonts w:ascii="Times New Roman" w:hAnsi="Times New Roman" w:cs="Times New Roman"/>
          <w:sz w:val="24"/>
          <w:szCs w:val="24"/>
        </w:rPr>
        <w:t xml:space="preserve">as </w:t>
      </w:r>
      <w:r w:rsidR="00CF081A">
        <w:rPr>
          <w:rFonts w:ascii="Times New Roman" w:hAnsi="Times New Roman" w:cs="Times New Roman"/>
          <w:sz w:val="24"/>
          <w:szCs w:val="24"/>
        </w:rPr>
        <w:t>profundidades</w:t>
      </w:r>
      <w:r w:rsidR="00D0204A">
        <w:rPr>
          <w:rFonts w:ascii="Times New Roman" w:hAnsi="Times New Roman" w:cs="Times New Roman"/>
          <w:sz w:val="24"/>
          <w:szCs w:val="24"/>
        </w:rPr>
        <w:t xml:space="preserve"> de coleta de solo</w:t>
      </w:r>
      <w:r w:rsidR="00CF081A">
        <w:rPr>
          <w:rFonts w:ascii="Times New Roman" w:hAnsi="Times New Roman" w:cs="Times New Roman"/>
          <w:sz w:val="24"/>
          <w:szCs w:val="24"/>
        </w:rPr>
        <w:t xml:space="preserve"> (0 a 20 cm e 0 a 10 cm) e </w:t>
      </w:r>
      <w:r w:rsidR="00D0204A">
        <w:rPr>
          <w:rFonts w:ascii="Times New Roman" w:hAnsi="Times New Roman" w:cs="Times New Roman"/>
          <w:sz w:val="24"/>
          <w:szCs w:val="24"/>
        </w:rPr>
        <w:t>locais de amostragem</w:t>
      </w:r>
      <w:r w:rsidR="00CF081A">
        <w:rPr>
          <w:rFonts w:ascii="Times New Roman" w:hAnsi="Times New Roman" w:cs="Times New Roman"/>
          <w:sz w:val="24"/>
          <w:szCs w:val="24"/>
        </w:rPr>
        <w:t xml:space="preserve"> (projeção da copa e localizada no bulbo) em 14 talhões de café de Fazenda situada em Patos de Minas, MG (200 ha), irrigada via gotejamento que faz uso constante de </w:t>
      </w:r>
      <w:proofErr w:type="spellStart"/>
      <w:r w:rsidR="00CF081A"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 w:rsidR="00CF081A">
        <w:rPr>
          <w:rFonts w:ascii="Times New Roman" w:hAnsi="Times New Roman" w:cs="Times New Roman"/>
          <w:sz w:val="24"/>
          <w:szCs w:val="24"/>
        </w:rPr>
        <w:t xml:space="preserve"> e adubação de cobertura com fontes </w:t>
      </w:r>
      <w:r>
        <w:rPr>
          <w:rFonts w:ascii="Times New Roman" w:hAnsi="Times New Roman" w:cs="Times New Roman"/>
          <w:sz w:val="24"/>
          <w:szCs w:val="24"/>
        </w:rPr>
        <w:t>convencionais</w:t>
      </w:r>
      <w:r w:rsidR="00CF08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ureia,</w:t>
      </w:r>
      <w:r w:rsidR="00CF081A">
        <w:rPr>
          <w:rFonts w:ascii="Times New Roman" w:hAnsi="Times New Roman" w:cs="Times New Roman"/>
          <w:sz w:val="24"/>
          <w:szCs w:val="24"/>
        </w:rPr>
        <w:t xml:space="preserve"> sulfato de amônio</w:t>
      </w:r>
      <w:r>
        <w:rPr>
          <w:rFonts w:ascii="Times New Roman" w:hAnsi="Times New Roman" w:cs="Times New Roman"/>
          <w:sz w:val="24"/>
          <w:szCs w:val="24"/>
        </w:rPr>
        <w:t xml:space="preserve">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234"/>
        <w:gridCol w:w="1435"/>
        <w:gridCol w:w="1415"/>
        <w:gridCol w:w="1573"/>
        <w:gridCol w:w="1537"/>
      </w:tblGrid>
      <w:tr w:rsidR="004E52BA" w:rsidTr="00D0204A">
        <w:tc>
          <w:tcPr>
            <w:tcW w:w="1809" w:type="dxa"/>
            <w:vMerge w:val="restart"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5"/>
            <w:vAlign w:val="center"/>
          </w:tcPr>
          <w:p w:rsid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Índice de saturação de bases (V%)</w:t>
            </w:r>
            <w:r w:rsidR="00CC0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Análise de 28/08/2020</w:t>
            </w:r>
          </w:p>
          <w:p w:rsidR="009B43F6" w:rsidRPr="004E52BA" w:rsidRDefault="009B43F6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9,2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4E52BA" w:rsidTr="00D0204A">
        <w:tc>
          <w:tcPr>
            <w:tcW w:w="1809" w:type="dxa"/>
            <w:vMerge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1435" w:type="dxa"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1415" w:type="dxa"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Diferença relevante entre 0 a 20 e 0 a 10 cm</w:t>
            </w:r>
          </w:p>
        </w:tc>
        <w:tc>
          <w:tcPr>
            <w:tcW w:w="1573" w:type="dxa"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  <w:tc>
          <w:tcPr>
            <w:tcW w:w="1537" w:type="dxa"/>
            <w:vAlign w:val="center"/>
          </w:tcPr>
          <w:p w:rsidR="004E52BA" w:rsidRPr="004E52BA" w:rsidRDefault="004E52BA" w:rsidP="00CF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Necessidade de correção do bulbo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PB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 1 A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A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FFC0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B</w:t>
            </w:r>
          </w:p>
        </w:tc>
        <w:tc>
          <w:tcPr>
            <w:tcW w:w="1234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5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PB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5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de bomba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5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PC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5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Pouco</w:t>
            </w:r>
          </w:p>
        </w:tc>
        <w:tc>
          <w:tcPr>
            <w:tcW w:w="1573" w:type="dxa"/>
            <w:shd w:val="clear" w:color="auto" w:fill="FFC0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2</w:t>
            </w:r>
          </w:p>
        </w:tc>
        <w:tc>
          <w:tcPr>
            <w:tcW w:w="1234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FFC0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1</w:t>
            </w:r>
          </w:p>
        </w:tc>
        <w:tc>
          <w:tcPr>
            <w:tcW w:w="1234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5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FFFF0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 podado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novo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PC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5" w:type="dxa"/>
            <w:shd w:val="clear" w:color="auto" w:fill="00B0F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81A" w:rsidTr="00AA120F">
        <w:tc>
          <w:tcPr>
            <w:tcW w:w="1809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PB</w:t>
            </w:r>
          </w:p>
        </w:tc>
        <w:tc>
          <w:tcPr>
            <w:tcW w:w="1234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  <w:shd w:val="clear" w:color="auto" w:fill="92D050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5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573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vAlign w:val="center"/>
          </w:tcPr>
          <w:p w:rsidR="00CF081A" w:rsidRDefault="00CF081A" w:rsidP="00CF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203E2" w:rsidRDefault="005203E2" w:rsidP="006344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*Índice de Saturação de Bases recomendado para café é 60%.</w:t>
      </w:r>
    </w:p>
    <w:p w:rsidR="00F678D1" w:rsidRDefault="00D0204A" w:rsidP="006344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DA8">
        <w:rPr>
          <w:rFonts w:ascii="Times New Roman" w:hAnsi="Times New Roman" w:cs="Times New Roman"/>
          <w:sz w:val="20"/>
          <w:szCs w:val="20"/>
        </w:rPr>
        <w:t>*Correção do bulbo deve ser feita com a aplicação de cloreto de Ca e Mg e/ou com nitrato de Ca em doses baixas.</w:t>
      </w:r>
    </w:p>
    <w:p w:rsidR="005203E2" w:rsidRPr="00CC0DA8" w:rsidRDefault="005203E2" w:rsidP="00F678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C0DA8" w:rsidRDefault="00CC0DA8" w:rsidP="00CC0DA8">
      <w:pPr>
        <w:ind w:firstLine="708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As respectivas amostras de solo são oriundas de 14 talhões de café de uma Fazenda de 200 ha, em que foram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colhidos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12.000 sacas no ano de 2020, sendo adubadas com altos níveis de N e K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O. A média de produtividade histórica da Fazenda é de 48 sacas/ha, obtida nas 10 primeiras safras. O conceito de adubação foi o mesmo em todas as safras.</w:t>
      </w:r>
    </w:p>
    <w:p w:rsidR="00CC0DA8" w:rsidRPr="00D0204A" w:rsidRDefault="00CC0DA8" w:rsidP="00CC0DA8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O manejo utilizado foi o de aplicar 40% dos fertilizantes nitrogenados via cobertura e 60% via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fertirrigação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Nas adubações de cobertura se aplicou 150 a 200 kg/ha de ureia e ou 400 kg/ha de sulfato de amônio, sendo 2 a 3 aplicações no ciclo. Nas adubações de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fertirrigação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se aplicou de 50 a 100 kg/ha de ureia por vez, sendo de 3 a 6 vezes no ciclo.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Os níveis de N, P K foram utilizados, em cada talhão foram baseados em Santinato &amp; Santinato, (2019).</w:t>
      </w:r>
    </w:p>
    <w:p w:rsidR="00CC0DA8" w:rsidRDefault="00CC0DA8" w:rsidP="00F678D1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Em talhões de carga alta (acima de 70 sacas/ha) aplicou-se três coberturas, em novembro, dezembro e fevereiro e seis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fertirrigações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em dois períodos, sendo o A: agosto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à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dezembro e o B de março à maio, sempre buscando atender a demanda de 72% do N total exigido antes da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granação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que na região, para Catuaí, ocorre normalmente em fevereiro. Em talhões menos produtivos fez-se comente duas adubações de cobertura, sempre respeitando os limites de N de cada uma delas. Nos talhões mais produtivos se faz mais coberturas para que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os níveis de cada adubação não ultrapasse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 limite indicado. Ao ultrapassar o limite indicado o efeito salino é maior e a perda de N para o ambiente também.</w:t>
      </w:r>
    </w:p>
    <w:p w:rsidR="00CC0DA8" w:rsidRPr="00CC0DA8" w:rsidRDefault="00CC0DA8" w:rsidP="00F67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DA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Resultados:</w:t>
      </w:r>
    </w:p>
    <w:p w:rsidR="0099387C" w:rsidRDefault="004E52BA" w:rsidP="0099387C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Segundo os resultados</w:t>
      </w:r>
      <w:r w:rsidR="00D020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apresentados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tivemos que na maioria das análises o V% foi maior na camada de 0 a 10 cm do que na camada de 0 a 20 cm. Isso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ocorre</w:t>
      </w:r>
      <w:r w:rsidR="00D020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pois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 Ca se acumula mais nessa camada, pois trata-se de um nutriente pouco móvel no solo e pela origem </w:t>
      </w:r>
      <w:r w:rsidR="006344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ca</w:t>
      </w:r>
      <w:r w:rsidR="006344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lcário </w:t>
      </w:r>
      <w:r w:rsidR="00D020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 assim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liberar lentamente o nutriente contido.</w:t>
      </w:r>
    </w:p>
    <w:p w:rsidR="004E52BA" w:rsidRDefault="004E52BA" w:rsidP="0099387C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No entanto as diferenças obtidas não foram relevantes ao ponto de alterar as recomendações de calagem. Somente no Chapadão PC foi encontrado</w:t>
      </w:r>
      <w:r w:rsidR="00D020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diferença de 8% o que alterara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quantidade </w:t>
      </w:r>
      <w:r w:rsidR="00D020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 calcário a ser aplicado para mais do que o suficiente quando se baseia nos resultados da camada de 0 a 10 cm.</w:t>
      </w:r>
    </w:p>
    <w:p w:rsidR="002000FA" w:rsidRDefault="002000FA" w:rsidP="0099387C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Com relação ao bulbo, como de costume, foram encontrados pontos de divergência entre os resultados na amostragem convencional, de projeção da copa, e da específica para bulbos. Nelas, apontadas como “SIM”, deve-se aplicar via gotejamento, após o início do período chuvoso, afim de espalhar melhor o produto aplicado ao redor do bulbo, a quantidade de 6 L/ha de cloreto de Ca e Mg uma única vez. Em março, para prevenção, deve-se aplicar 3 L/ha de cloreto de Ca e Mg em todos os talhões, visto que serão fortemente adubados com </w:t>
      </w:r>
      <w:r w:rsidR="00D020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nitrogênio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neste ciclo.</w:t>
      </w:r>
    </w:p>
    <w:p w:rsidR="00CC0DA8" w:rsidRPr="00CC0DA8" w:rsidRDefault="00CC0DA8" w:rsidP="0099387C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C0DA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Conclusões:</w:t>
      </w:r>
    </w:p>
    <w:p w:rsidR="00DE4FA6" w:rsidRDefault="00DE4FA6" w:rsidP="0099387C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Veja</w:t>
      </w:r>
      <w:r w:rsidR="00123B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portanto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que nesse manej</w:t>
      </w:r>
      <w:r w:rsidR="00FD7C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o, mesmo usando fontes convencionais, e </w:t>
      </w:r>
      <w:r w:rsidR="00CC0D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sendo</w:t>
      </w:r>
      <w:r w:rsidR="00FD7C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60% </w:t>
      </w:r>
      <w:r w:rsidR="00CC0D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via</w:t>
      </w:r>
      <w:r w:rsidR="00FD7C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D7C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fertirrigação</w:t>
      </w:r>
      <w:proofErr w:type="spellEnd"/>
      <w:r w:rsidR="00FD7C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não houve problemas no índice de saturação de bases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nas amostras da projeção da copa</w:t>
      </w:r>
      <w:r w:rsidR="00FD7C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estando todos eles próximos 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do adequado. </w:t>
      </w:r>
      <w:r w:rsidR="00CC0D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Isso se deve à calagem ser feita corretamente todos os anos baseando-se nos resultados obtidos na camada de 0 a 20 cm. 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Houveram alterações nas amostras de bulbo, mas não tão elevadas ao ponto de danificar excessivamente as raízes</w:t>
      </w:r>
      <w:r w:rsidR="00CC0D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Vale ressaltar que esse sistema vem sendo utilizado na 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Fazenda há 1</w:t>
      </w:r>
      <w:r w:rsidR="00123B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anos, desde sua implantação e somente agora notou-se </w:t>
      </w:r>
      <w:r w:rsidR="00CC0D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tais </w:t>
      </w:r>
      <w:r w:rsidR="005570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irregularidades no bulbo que serão devidamente corrigidas.</w:t>
      </w:r>
    </w:p>
    <w:p w:rsidR="003842A0" w:rsidRDefault="003842A0" w:rsidP="00205013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875EC" w:rsidRPr="00F56CA3" w:rsidRDefault="007875EC" w:rsidP="00205013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CA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Outros parâmetros analisados:</w:t>
      </w:r>
    </w:p>
    <w:p w:rsidR="007875EC" w:rsidRDefault="007875EC" w:rsidP="007875EC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Diferenças no </w:t>
      </w:r>
      <w:r w:rsidR="00F56CA3">
        <w:rPr>
          <w:rFonts w:ascii="Times New Roman" w:hAnsi="Times New Roman" w:cs="Times New Roman"/>
          <w:sz w:val="24"/>
          <w:szCs w:val="24"/>
        </w:rPr>
        <w:t>teor de fósforo</w:t>
      </w:r>
      <w:r>
        <w:rPr>
          <w:rFonts w:ascii="Times New Roman" w:hAnsi="Times New Roman" w:cs="Times New Roman"/>
          <w:sz w:val="24"/>
          <w:szCs w:val="24"/>
        </w:rPr>
        <w:t xml:space="preserve"> entre as profundidades de coleta de solo (0 a 20 cm e 0 a 10 cm) e locais de amostragem (projeção da copa e localizada no bulbo) em 14 talhões de café de Fazenda situada em Patos de Minas, MG (200 ha), irrigada via gotejamento que faz uso constante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com fontes convencionais (ureia, sulfato de amônio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976"/>
        <w:gridCol w:w="2091"/>
      </w:tblGrid>
      <w:tr w:rsidR="007875EC" w:rsidTr="0052679E">
        <w:tc>
          <w:tcPr>
            <w:tcW w:w="1809" w:type="dxa"/>
            <w:vMerge w:val="restart"/>
            <w:vAlign w:val="center"/>
          </w:tcPr>
          <w:p w:rsidR="007875EC" w:rsidRPr="004E52BA" w:rsidRDefault="007875EC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3"/>
            <w:vAlign w:val="center"/>
          </w:tcPr>
          <w:p w:rsidR="007875EC" w:rsidRDefault="0052679E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(resina) (mg/dm</w:t>
            </w:r>
            <w:r w:rsidRPr="005267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Análise de 28/08/2020</w:t>
            </w:r>
          </w:p>
          <w:p w:rsidR="009B43F6" w:rsidRPr="004E52BA" w:rsidRDefault="009B43F6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9,2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94681C" w:rsidTr="009B43F6">
        <w:tc>
          <w:tcPr>
            <w:tcW w:w="1809" w:type="dxa"/>
            <w:vMerge/>
            <w:vAlign w:val="center"/>
          </w:tcPr>
          <w:p w:rsidR="0094681C" w:rsidRPr="004E52BA" w:rsidRDefault="0094681C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681C" w:rsidRPr="004E52BA" w:rsidRDefault="0094681C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2976" w:type="dxa"/>
            <w:vAlign w:val="center"/>
          </w:tcPr>
          <w:p w:rsidR="0094681C" w:rsidRPr="004E52BA" w:rsidRDefault="0094681C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2091" w:type="dxa"/>
            <w:vAlign w:val="center"/>
          </w:tcPr>
          <w:p w:rsidR="0094681C" w:rsidRPr="004E52BA" w:rsidRDefault="0094681C" w:rsidP="00526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PB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1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 1 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B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1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PB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de bomba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1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PC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1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1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 podado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novo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1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PC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91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PB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  <w:shd w:val="clear" w:color="auto" w:fill="00B0F0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1" w:type="dxa"/>
            <w:vAlign w:val="center"/>
          </w:tcPr>
          <w:p w:rsidR="0094681C" w:rsidRDefault="0094681C" w:rsidP="0052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75EC" w:rsidRDefault="007875EC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Diferenças no pH entre as profundidades de coleta de solo (0 a 20 cm e 0 a 10 cm) e locais de amostragem (projeção da copa e localizada no bulbo) em 14 talhões de café de Fazenda situada em Patos de Minas, MG (200 ha), irrigada via gotejamento que faz uso constante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com fontes convencionais (ureia, sulfato de amônio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2374"/>
      </w:tblGrid>
      <w:tr w:rsidR="00F56CA3" w:rsidTr="00245D07">
        <w:tc>
          <w:tcPr>
            <w:tcW w:w="1809" w:type="dxa"/>
            <w:vMerge w:val="restart"/>
            <w:vAlign w:val="center"/>
          </w:tcPr>
          <w:p w:rsidR="00F56CA3" w:rsidRPr="004E52BA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3"/>
            <w:vAlign w:val="center"/>
          </w:tcPr>
          <w:p w:rsidR="00F56CA3" w:rsidRDefault="00F56CA3" w:rsidP="00F5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(água)– Análise de 28/08/2020</w:t>
            </w:r>
          </w:p>
          <w:p w:rsidR="009B43F6" w:rsidRPr="004E52BA" w:rsidRDefault="009B43F6" w:rsidP="00F56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9,2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94681C" w:rsidTr="009B43F6">
        <w:tc>
          <w:tcPr>
            <w:tcW w:w="1809" w:type="dxa"/>
            <w:vMerge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2977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2374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PB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 1 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B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PB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de bomba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PC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2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1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 podado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novo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PC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PB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Diferenças no teor de potássio entre as profundidades de coleta de solo (0 a 20 cm e 0 a 10 cm) e locais de amostragem (projeção da copa e localizada no bulbo) em 14 talhões de café de Fazenda situada em Patos de Minas, MG (200 ha), irrigada via gotejamento que faz uso constante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com fontes convencionais (ureia, sulfato de amônio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835"/>
        <w:gridCol w:w="2658"/>
      </w:tblGrid>
      <w:tr w:rsidR="00F56CA3" w:rsidTr="00245D07">
        <w:tc>
          <w:tcPr>
            <w:tcW w:w="1809" w:type="dxa"/>
            <w:vMerge w:val="restart"/>
            <w:vAlign w:val="center"/>
          </w:tcPr>
          <w:p w:rsidR="00F56CA3" w:rsidRPr="004E52BA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3"/>
            <w:vAlign w:val="center"/>
          </w:tcPr>
          <w:p w:rsidR="00F56CA3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na CTC (%) – Análise de 28/08/2020</w:t>
            </w:r>
          </w:p>
          <w:p w:rsidR="009B43F6" w:rsidRPr="004E52BA" w:rsidRDefault="009B43F6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9,2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94681C" w:rsidTr="009B43F6">
        <w:tc>
          <w:tcPr>
            <w:tcW w:w="1809" w:type="dxa"/>
            <w:vMerge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2835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2658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PB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658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 1 A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658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A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58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B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58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PB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58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de bomba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658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PC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658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2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658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1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658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 podado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658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835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658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novo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8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PC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8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PB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58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Diferenças no teor de Ca entre as profundidades de coleta de solo (0 a 20 cm e 0 a 10 cm) e locais de amostragem (projeção da copa e localizada no bulbo) em 14 talhões de café de Fazenda situada em Patos de Minas, MG (200 ha), irrigada via gotejamento que faz uso constante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com fontes convencionais (ureia, sulfato de amônio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2374"/>
      </w:tblGrid>
      <w:tr w:rsidR="00F56CA3" w:rsidTr="00245D07">
        <w:tc>
          <w:tcPr>
            <w:tcW w:w="1809" w:type="dxa"/>
            <w:vMerge w:val="restart"/>
            <w:vAlign w:val="center"/>
          </w:tcPr>
          <w:p w:rsidR="00F56CA3" w:rsidRPr="004E52BA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3"/>
            <w:vAlign w:val="center"/>
          </w:tcPr>
          <w:p w:rsidR="00F56CA3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 na CTC (%) – Análise de 28/08/2020</w:t>
            </w:r>
          </w:p>
          <w:p w:rsidR="009B43F6" w:rsidRPr="004E52BA" w:rsidRDefault="009B43F6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9,2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94681C" w:rsidTr="009B43F6">
        <w:tc>
          <w:tcPr>
            <w:tcW w:w="1809" w:type="dxa"/>
            <w:vMerge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2977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2374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PB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 1 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B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PB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4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de bomba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4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PC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2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1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 podado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novo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PC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PB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0F" w:rsidRDefault="00AA120F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Diferenças no teor de Mg entre as profundidades de coleta de solo (0 a 20 cm e 0 a 10 cm) e locais de amostragem (projeção da copa e localizada no bulbo) em 14 talhões de café de Fazenda situada em Patos de Minas, MG (200 ha), irrigada via gotejamento que faz uso constante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com fontes convencionais (ureia, sulfato de amônio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693"/>
        <w:gridCol w:w="2374"/>
      </w:tblGrid>
      <w:tr w:rsidR="00F56CA3" w:rsidTr="00245D07">
        <w:tc>
          <w:tcPr>
            <w:tcW w:w="1809" w:type="dxa"/>
            <w:vMerge w:val="restart"/>
            <w:vAlign w:val="center"/>
          </w:tcPr>
          <w:p w:rsidR="00F56CA3" w:rsidRPr="004E52BA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3"/>
            <w:vAlign w:val="center"/>
          </w:tcPr>
          <w:p w:rsidR="00F56CA3" w:rsidRDefault="00F56CA3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 na CTC (%) – Análise de 28/08/2020</w:t>
            </w:r>
          </w:p>
          <w:p w:rsidR="009B43F6" w:rsidRPr="004E52BA" w:rsidRDefault="009B43F6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9,2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94681C" w:rsidTr="009B43F6">
        <w:tc>
          <w:tcPr>
            <w:tcW w:w="1809" w:type="dxa"/>
            <w:vMerge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2693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2374" w:type="dxa"/>
            <w:vAlign w:val="center"/>
          </w:tcPr>
          <w:p w:rsidR="0094681C" w:rsidRPr="004E52BA" w:rsidRDefault="0094681C" w:rsidP="00245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PB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 1 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podado B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PB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  <w:shd w:val="clear" w:color="auto" w:fill="FFC0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de bomba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Chapadão PC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2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Araújo 1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 podado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PC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4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novo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PC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1C" w:rsidTr="009B43F6">
        <w:tc>
          <w:tcPr>
            <w:tcW w:w="1809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Esperança PB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  <w:vAlign w:val="center"/>
          </w:tcPr>
          <w:p w:rsidR="0094681C" w:rsidRDefault="0094681C" w:rsidP="002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6CA3" w:rsidRDefault="00F56CA3" w:rsidP="00F56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221" w:rsidRDefault="00150221" w:rsidP="00F56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221">
        <w:rPr>
          <w:rFonts w:ascii="Times New Roman" w:hAnsi="Times New Roman" w:cs="Times New Roman"/>
          <w:b/>
          <w:sz w:val="24"/>
          <w:szCs w:val="24"/>
        </w:rPr>
        <w:t>Outras lavouras analisadas:</w:t>
      </w:r>
    </w:p>
    <w:p w:rsidR="00150221" w:rsidRPr="00150221" w:rsidRDefault="00150221" w:rsidP="00F56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0221">
        <w:rPr>
          <w:rFonts w:ascii="Times New Roman" w:hAnsi="Times New Roman" w:cs="Times New Roman"/>
          <w:sz w:val="24"/>
          <w:szCs w:val="24"/>
        </w:rPr>
        <w:t>Nesse outro conjunto de dados temos três situações, de três talhões, totalizando 55 ha, para serem discutidos: Na Gleba 2 tanto na faixa de adubação quanto no bulbo o V% acha-se suficiente. Na Gleba 3 acham-se muito baixos e na Gleba 4, baixos. Não havendo diferenças relevantes entre as amostras</w:t>
      </w:r>
      <w:r w:rsidR="00123B13">
        <w:rPr>
          <w:rFonts w:ascii="Times New Roman" w:hAnsi="Times New Roman" w:cs="Times New Roman"/>
          <w:sz w:val="24"/>
          <w:szCs w:val="24"/>
        </w:rPr>
        <w:t xml:space="preserve"> retiradas na forma convencional na faixa de adubação e no bulbo</w:t>
      </w:r>
      <w:r w:rsidRPr="00150221">
        <w:rPr>
          <w:rFonts w:ascii="Times New Roman" w:hAnsi="Times New Roman" w:cs="Times New Roman"/>
          <w:sz w:val="24"/>
          <w:szCs w:val="24"/>
        </w:rPr>
        <w:t>, ou seja, o V% alto, muito baixo e baixos são devido à própria calagem que foi insuficiente.</w:t>
      </w:r>
    </w:p>
    <w:p w:rsidR="00150221" w:rsidRDefault="00150221" w:rsidP="00150221">
      <w:pPr>
        <w:jc w:val="both"/>
        <w:rPr>
          <w:rFonts w:ascii="Times New Roman" w:hAnsi="Times New Roman" w:cs="Times New Roman"/>
          <w:sz w:val="24"/>
          <w:szCs w:val="24"/>
        </w:rPr>
      </w:pPr>
      <w:r w:rsidRPr="004E52BA">
        <w:rPr>
          <w:rFonts w:ascii="Times New Roman" w:hAnsi="Times New Roman" w:cs="Times New Roman"/>
          <w:b/>
          <w:sz w:val="24"/>
          <w:szCs w:val="24"/>
        </w:rPr>
        <w:t>Tabela.</w:t>
      </w:r>
      <w:r>
        <w:rPr>
          <w:rFonts w:ascii="Times New Roman" w:hAnsi="Times New Roman" w:cs="Times New Roman"/>
          <w:sz w:val="24"/>
          <w:szCs w:val="24"/>
        </w:rPr>
        <w:t xml:space="preserve"> Diferenças no Índice de saturação de bases (V%) entre as profundidades de coleta de solo (0 a 20 cm e 0 a 10 cm) e locais de amostragem (projeção da copa e localizada no bulbo) em 14 talhões de café de Fazenda situada em Patos de Minas, MG (55 ha), irrigada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via gotejamento que faz uso constante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adubação de cobertura com fontes convencionais (ureia, sulfato de amônio e cloreto de potássio).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234"/>
        <w:gridCol w:w="1435"/>
        <w:gridCol w:w="1415"/>
        <w:gridCol w:w="1573"/>
        <w:gridCol w:w="1537"/>
      </w:tblGrid>
      <w:tr w:rsidR="00150221" w:rsidTr="00405D26">
        <w:tc>
          <w:tcPr>
            <w:tcW w:w="1809" w:type="dxa"/>
            <w:vMerge w:val="restart"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5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Índice de saturação de bases (V%)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Análise de 02/06/2020</w:t>
            </w:r>
          </w:p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11 a 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150221" w:rsidTr="00405D26">
        <w:tc>
          <w:tcPr>
            <w:tcW w:w="1809" w:type="dxa"/>
            <w:vMerge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1435" w:type="dxa"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1415" w:type="dxa"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Diferença relevante entre 0 a 20 e 0 a 10 cm</w:t>
            </w:r>
          </w:p>
        </w:tc>
        <w:tc>
          <w:tcPr>
            <w:tcW w:w="1573" w:type="dxa"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  <w:tc>
          <w:tcPr>
            <w:tcW w:w="1537" w:type="dxa"/>
            <w:vAlign w:val="center"/>
          </w:tcPr>
          <w:p w:rsidR="00150221" w:rsidRPr="004E52BA" w:rsidRDefault="00150221" w:rsidP="00405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Necessidade de correção do bulbo</w:t>
            </w:r>
          </w:p>
        </w:tc>
      </w:tr>
      <w:tr w:rsidR="00150221" w:rsidTr="00150221">
        <w:tc>
          <w:tcPr>
            <w:tcW w:w="1809" w:type="dxa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Gleba 2</w:t>
            </w:r>
          </w:p>
        </w:tc>
        <w:tc>
          <w:tcPr>
            <w:tcW w:w="1234" w:type="dxa"/>
            <w:shd w:val="clear" w:color="auto" w:fill="00B0F0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00B0F0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7" w:type="dxa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150221" w:rsidTr="00150221">
        <w:tc>
          <w:tcPr>
            <w:tcW w:w="1809" w:type="dxa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Gleba 3</w:t>
            </w:r>
          </w:p>
        </w:tc>
        <w:tc>
          <w:tcPr>
            <w:tcW w:w="1234" w:type="dxa"/>
            <w:shd w:val="clear" w:color="auto" w:fill="FF0000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0000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7" w:type="dxa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150221" w:rsidTr="00150221">
        <w:tc>
          <w:tcPr>
            <w:tcW w:w="1809" w:type="dxa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Gleba 4</w:t>
            </w:r>
          </w:p>
        </w:tc>
        <w:tc>
          <w:tcPr>
            <w:tcW w:w="1234" w:type="dxa"/>
            <w:shd w:val="clear" w:color="auto" w:fill="FFC000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C000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7" w:type="dxa"/>
            <w:vAlign w:val="center"/>
          </w:tcPr>
          <w:p w:rsidR="00150221" w:rsidRDefault="00150221" w:rsidP="0040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</w:tbl>
    <w:p w:rsidR="00150221" w:rsidRDefault="00150221" w:rsidP="00123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*Índice de Saturação de Bases recomendado para café é 60%.</w:t>
      </w:r>
    </w:p>
    <w:p w:rsidR="00150221" w:rsidRDefault="00150221" w:rsidP="00123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DA8">
        <w:rPr>
          <w:rFonts w:ascii="Times New Roman" w:hAnsi="Times New Roman" w:cs="Times New Roman"/>
          <w:sz w:val="20"/>
          <w:szCs w:val="20"/>
        </w:rPr>
        <w:t>*Correção do bulbo deve ser feita com a aplicação de cloreto de Ca e Mg e/ou com nitrato de Ca em doses baixas.</w:t>
      </w:r>
    </w:p>
    <w:p w:rsidR="00123B13" w:rsidRDefault="00123B13" w:rsidP="00123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3B13" w:rsidRDefault="00123B13" w:rsidP="0012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Nesse outro exemplo, em Bauru, SP, solo arenoso, com CTC de 3 a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cmolc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/dm3 (2/10/2020), temos a diferença entre o teor de B das amostras retiradas na faixa de adubação e das retiradas no Bulbo. No caso dessa Fazenda se faz unicamente a aplicação de B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utilizando a fonte ácido bórico:</w:t>
      </w:r>
    </w:p>
    <w:p w:rsidR="00EB15C2" w:rsidRDefault="00EB15C2" w:rsidP="0012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234"/>
        <w:gridCol w:w="1435"/>
        <w:gridCol w:w="1415"/>
        <w:gridCol w:w="1573"/>
        <w:gridCol w:w="1537"/>
      </w:tblGrid>
      <w:tr w:rsidR="00EB15C2" w:rsidTr="004F4767">
        <w:tc>
          <w:tcPr>
            <w:tcW w:w="1809" w:type="dxa"/>
            <w:vMerge w:val="restart"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Talhão</w:t>
            </w:r>
          </w:p>
        </w:tc>
        <w:tc>
          <w:tcPr>
            <w:tcW w:w="7194" w:type="dxa"/>
            <w:gridSpan w:val="5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 de B no solo</w:t>
            </w: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mg/dm3</w:t>
            </w: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Análise de 02/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  <w:p w:rsidR="00EB15C2" w:rsidRPr="004E52BA" w:rsidRDefault="00EB15C2" w:rsidP="00EB1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CTC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cmolc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/dm3</w:t>
            </w:r>
          </w:p>
        </w:tc>
      </w:tr>
      <w:tr w:rsidR="00EB15C2" w:rsidTr="004F4767">
        <w:tc>
          <w:tcPr>
            <w:tcW w:w="1809" w:type="dxa"/>
            <w:vMerge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20 cm</w:t>
            </w:r>
          </w:p>
        </w:tc>
        <w:tc>
          <w:tcPr>
            <w:tcW w:w="1435" w:type="dxa"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0 a 10 cm</w:t>
            </w:r>
          </w:p>
        </w:tc>
        <w:tc>
          <w:tcPr>
            <w:tcW w:w="1415" w:type="dxa"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Diferença relevante entre 0 a 20 e 0 a 10 cm</w:t>
            </w:r>
          </w:p>
        </w:tc>
        <w:tc>
          <w:tcPr>
            <w:tcW w:w="1573" w:type="dxa"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Bulbo</w:t>
            </w:r>
          </w:p>
        </w:tc>
        <w:tc>
          <w:tcPr>
            <w:tcW w:w="1537" w:type="dxa"/>
            <w:vAlign w:val="center"/>
          </w:tcPr>
          <w:p w:rsidR="00EB15C2" w:rsidRPr="004E52BA" w:rsidRDefault="00EB15C2" w:rsidP="004F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BA">
              <w:rPr>
                <w:rFonts w:ascii="Times New Roman" w:hAnsi="Times New Roman" w:cs="Times New Roman"/>
                <w:b/>
                <w:sz w:val="24"/>
                <w:szCs w:val="24"/>
              </w:rPr>
              <w:t>Necessidade de correção do bulbo</w:t>
            </w:r>
          </w:p>
        </w:tc>
      </w:tr>
      <w:tr w:rsidR="00EB15C2" w:rsidTr="00EB15C2">
        <w:tc>
          <w:tcPr>
            <w:tcW w:w="1809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92D05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537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EB15C2" w:rsidTr="00EB15C2">
        <w:tc>
          <w:tcPr>
            <w:tcW w:w="1809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234" w:type="dxa"/>
            <w:shd w:val="clear" w:color="auto" w:fill="FFC0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92D05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537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EB15C2" w:rsidTr="00EB15C2">
        <w:tc>
          <w:tcPr>
            <w:tcW w:w="1809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92D05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537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EB15C2" w:rsidTr="00EB15C2">
        <w:tc>
          <w:tcPr>
            <w:tcW w:w="1809" w:type="dxa"/>
            <w:vAlign w:val="center"/>
          </w:tcPr>
          <w:p w:rsidR="00EB15C2" w:rsidRDefault="00EB15C2" w:rsidP="00EB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92D05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537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EB15C2" w:rsidTr="00EB15C2">
        <w:tc>
          <w:tcPr>
            <w:tcW w:w="1809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T5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FFC0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537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EB15C2" w:rsidTr="00EB15C2">
        <w:tc>
          <w:tcPr>
            <w:tcW w:w="1809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T8</w:t>
            </w:r>
          </w:p>
        </w:tc>
        <w:tc>
          <w:tcPr>
            <w:tcW w:w="1234" w:type="dxa"/>
            <w:shd w:val="clear" w:color="auto" w:fill="FFFF0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92D050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537" w:type="dxa"/>
            <w:vAlign w:val="center"/>
          </w:tcPr>
          <w:p w:rsidR="00EB15C2" w:rsidRDefault="00EB15C2" w:rsidP="004F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</w:tbl>
    <w:p w:rsidR="00EB15C2" w:rsidRDefault="00EB15C2" w:rsidP="0012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5C2" w:rsidRDefault="00EB15C2" w:rsidP="0012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Notemos que em seis talhões de sete no total houveram diferenças relevantes entre os teores de B obtidos no bulbo e na amostragem convencional. O mais acentuado foi para o P2 em que o teor na amostra convencional foi de 0.27 mg/dm3, classificado como Baixo e o obtido no Bulbo foi 0.91 mg/dm3, classificado </w:t>
      </w:r>
      <w:proofErr w:type="gramStart"/>
      <w:r>
        <w:rPr>
          <w:rFonts w:ascii="Times New Roman" w:hAnsi="Times New Roman" w:cs="Times New Roman"/>
          <w:sz w:val="24"/>
          <w:szCs w:val="24"/>
        </w:rPr>
        <w:t>como Adequado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15C2" w:rsidRDefault="00EB15C2" w:rsidP="0012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Isso ocorreu pois nessa Fazenda se fazia unicamente aplicações de B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no gotejamento, utilizando ácido bórico. Tratando-se de um solo arenoso o bulbo é mais restrito superficialmente e o B não se “espalha” na superfície. Isso traz implicações negativas.</w:t>
      </w:r>
    </w:p>
    <w:p w:rsidR="00EB15C2" w:rsidRPr="00123B13" w:rsidRDefault="00EB15C2" w:rsidP="0012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correto é nesses casos aplicar uma parte do B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leque e outra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fertirrigação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utilizando o ácido bórico e em parte fazendo adubação de cobertura utilizando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ulexita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6CA3" w:rsidRDefault="00F56CA3" w:rsidP="00787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5EC" w:rsidRDefault="0052679E" w:rsidP="00205013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56CA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Base de interpretação de análise de solo para café:</w:t>
      </w:r>
    </w:p>
    <w:p w:rsidR="00E5556D" w:rsidRPr="00D74FE1" w:rsidRDefault="00E5556D" w:rsidP="00E55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FE1">
        <w:rPr>
          <w:rFonts w:ascii="Times New Roman" w:hAnsi="Times New Roman" w:cs="Times New Roman"/>
          <w:b/>
          <w:sz w:val="24"/>
          <w:szCs w:val="24"/>
        </w:rPr>
        <w:t>Tabela.</w:t>
      </w:r>
      <w:r w:rsidRPr="00D74FE1">
        <w:rPr>
          <w:rFonts w:ascii="Times New Roman" w:hAnsi="Times New Roman" w:cs="Times New Roman"/>
          <w:sz w:val="24"/>
          <w:szCs w:val="24"/>
        </w:rPr>
        <w:t xml:space="preserve"> Padrões de Fertilidade do Solo para o cultivo do café, embasado na rede de ensaios fatoriais do IBC, nas décadas de 1970” e 1</w:t>
      </w:r>
      <w:r>
        <w:rPr>
          <w:rFonts w:ascii="Times New Roman" w:hAnsi="Times New Roman" w:cs="Times New Roman"/>
          <w:sz w:val="24"/>
          <w:szCs w:val="24"/>
        </w:rPr>
        <w:t>980”, nos estados de São Paulo,</w:t>
      </w:r>
      <w:r w:rsidRPr="00D74FE1">
        <w:rPr>
          <w:rFonts w:ascii="Times New Roman" w:hAnsi="Times New Roman" w:cs="Times New Roman"/>
          <w:sz w:val="24"/>
          <w:szCs w:val="24"/>
        </w:rPr>
        <w:t xml:space="preserve"> Minas Gerais</w:t>
      </w:r>
      <w:r>
        <w:rPr>
          <w:rFonts w:ascii="Times New Roman" w:hAnsi="Times New Roman" w:cs="Times New Roman"/>
          <w:sz w:val="24"/>
          <w:szCs w:val="24"/>
        </w:rPr>
        <w:t xml:space="preserve"> e Bahia</w:t>
      </w:r>
      <w:r w:rsidRPr="00D74FE1">
        <w:rPr>
          <w:rFonts w:ascii="Times New Roman" w:hAnsi="Times New Roman" w:cs="Times New Roman"/>
          <w:sz w:val="24"/>
          <w:szCs w:val="24"/>
        </w:rPr>
        <w:t xml:space="preserve">, pelos pesquisadores </w:t>
      </w:r>
      <w:proofErr w:type="spellStart"/>
      <w:r w:rsidRPr="00D74FE1">
        <w:rPr>
          <w:rFonts w:ascii="Times New Roman" w:hAnsi="Times New Roman" w:cs="Times New Roman"/>
          <w:sz w:val="24"/>
          <w:szCs w:val="24"/>
        </w:rPr>
        <w:t>Matiello</w:t>
      </w:r>
      <w:proofErr w:type="spellEnd"/>
      <w:r w:rsidRPr="00D74FE1">
        <w:rPr>
          <w:rFonts w:ascii="Times New Roman" w:hAnsi="Times New Roman" w:cs="Times New Roman"/>
          <w:sz w:val="24"/>
          <w:szCs w:val="24"/>
        </w:rPr>
        <w:t xml:space="preserve">, J.B.; </w:t>
      </w:r>
      <w:proofErr w:type="spellStart"/>
      <w:r w:rsidRPr="00D74FE1">
        <w:rPr>
          <w:rFonts w:ascii="Times New Roman" w:hAnsi="Times New Roman" w:cs="Times New Roman"/>
          <w:sz w:val="24"/>
          <w:szCs w:val="24"/>
        </w:rPr>
        <w:t>Santinato</w:t>
      </w:r>
      <w:proofErr w:type="spellEnd"/>
      <w:r w:rsidRPr="00D74FE1">
        <w:rPr>
          <w:rFonts w:ascii="Times New Roman" w:hAnsi="Times New Roman" w:cs="Times New Roman"/>
          <w:sz w:val="24"/>
          <w:szCs w:val="24"/>
        </w:rPr>
        <w:t>, R.; Almeida, S.R.; Garcia, A.W.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0"/>
        <w:gridCol w:w="1802"/>
        <w:gridCol w:w="1169"/>
        <w:gridCol w:w="1165"/>
        <w:gridCol w:w="1172"/>
        <w:gridCol w:w="1229"/>
        <w:gridCol w:w="726"/>
      </w:tblGrid>
      <w:tr w:rsidR="00E5556D" w:rsidRPr="0052679E" w:rsidTr="00300D20">
        <w:tc>
          <w:tcPr>
            <w:tcW w:w="3542" w:type="dxa"/>
            <w:gridSpan w:val="2"/>
            <w:vMerge w:val="restart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Parâmetros e métodos</w:t>
            </w:r>
          </w:p>
        </w:tc>
        <w:tc>
          <w:tcPr>
            <w:tcW w:w="5461" w:type="dxa"/>
            <w:gridSpan w:val="5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Faixas de fertilidade do solo</w:t>
            </w:r>
          </w:p>
        </w:tc>
      </w:tr>
      <w:tr w:rsidR="00E5556D" w:rsidRPr="0052679E" w:rsidTr="00300D20">
        <w:tc>
          <w:tcPr>
            <w:tcW w:w="3542" w:type="dxa"/>
            <w:gridSpan w:val="2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FF0000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Muito baixa</w:t>
            </w:r>
          </w:p>
        </w:tc>
        <w:tc>
          <w:tcPr>
            <w:tcW w:w="1165" w:type="dxa"/>
            <w:shd w:val="clear" w:color="auto" w:fill="FFC000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1172" w:type="dxa"/>
            <w:shd w:val="clear" w:color="auto" w:fill="FFFF00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229" w:type="dxa"/>
            <w:shd w:val="clear" w:color="auto" w:fill="92D050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Adequada</w:t>
            </w:r>
          </w:p>
        </w:tc>
        <w:tc>
          <w:tcPr>
            <w:tcW w:w="726" w:type="dxa"/>
            <w:shd w:val="clear" w:color="auto" w:fill="00B0F0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</w:p>
        </w:tc>
      </w:tr>
      <w:tr w:rsidR="00300D20" w:rsidRPr="0052679E" w:rsidTr="00300D20">
        <w:tc>
          <w:tcPr>
            <w:tcW w:w="1740" w:type="dxa"/>
            <w:vMerge w:val="restart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Acidez</w:t>
            </w:r>
          </w:p>
        </w:tc>
        <w:tc>
          <w:tcPr>
            <w:tcW w:w="180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V%</w:t>
            </w:r>
          </w:p>
        </w:tc>
        <w:tc>
          <w:tcPr>
            <w:tcW w:w="116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&lt;35</w:t>
            </w:r>
          </w:p>
        </w:tc>
        <w:tc>
          <w:tcPr>
            <w:tcW w:w="1165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35-44</w:t>
            </w:r>
          </w:p>
        </w:tc>
        <w:tc>
          <w:tcPr>
            <w:tcW w:w="117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45-55</w:t>
            </w:r>
          </w:p>
        </w:tc>
        <w:tc>
          <w:tcPr>
            <w:tcW w:w="122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56-65</w:t>
            </w:r>
          </w:p>
        </w:tc>
        <w:tc>
          <w:tcPr>
            <w:tcW w:w="726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&gt;65</w:t>
            </w:r>
          </w:p>
        </w:tc>
      </w:tr>
      <w:tr w:rsidR="00300D20" w:rsidRPr="0052679E" w:rsidTr="00300D20">
        <w:tc>
          <w:tcPr>
            <w:tcW w:w="1740" w:type="dxa"/>
            <w:vMerge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pH (água)</w:t>
            </w:r>
          </w:p>
        </w:tc>
        <w:tc>
          <w:tcPr>
            <w:tcW w:w="116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&lt;3,5</w:t>
            </w:r>
          </w:p>
        </w:tc>
        <w:tc>
          <w:tcPr>
            <w:tcW w:w="1165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3,5 a 4,5</w:t>
            </w:r>
          </w:p>
        </w:tc>
        <w:tc>
          <w:tcPr>
            <w:tcW w:w="117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4,6 a 5,5</w:t>
            </w:r>
          </w:p>
        </w:tc>
        <w:tc>
          <w:tcPr>
            <w:tcW w:w="122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5,6 a 6,5</w:t>
            </w:r>
          </w:p>
        </w:tc>
        <w:tc>
          <w:tcPr>
            <w:tcW w:w="726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&gt;6,5</w:t>
            </w:r>
          </w:p>
        </w:tc>
      </w:tr>
      <w:tr w:rsidR="00300D20" w:rsidRPr="0052679E" w:rsidTr="00300D20">
        <w:tc>
          <w:tcPr>
            <w:tcW w:w="1740" w:type="dxa"/>
            <w:vMerge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5267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6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&gt;1</w:t>
            </w:r>
          </w:p>
        </w:tc>
        <w:tc>
          <w:tcPr>
            <w:tcW w:w="1165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0,5 a 1,0</w:t>
            </w:r>
          </w:p>
        </w:tc>
        <w:tc>
          <w:tcPr>
            <w:tcW w:w="117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0,25 a 0,5</w:t>
            </w:r>
          </w:p>
        </w:tc>
        <w:tc>
          <w:tcPr>
            <w:tcW w:w="122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0,0 a 0,25</w:t>
            </w:r>
          </w:p>
        </w:tc>
        <w:tc>
          <w:tcPr>
            <w:tcW w:w="726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&gt;0</w:t>
            </w:r>
          </w:p>
        </w:tc>
      </w:tr>
      <w:tr w:rsidR="00300D20" w:rsidRPr="0052679E" w:rsidTr="00300D20">
        <w:tc>
          <w:tcPr>
            <w:tcW w:w="1740" w:type="dxa"/>
            <w:vMerge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267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6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&gt;10</w:t>
            </w:r>
          </w:p>
        </w:tc>
        <w:tc>
          <w:tcPr>
            <w:tcW w:w="1165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5,1 a 10</w:t>
            </w:r>
          </w:p>
        </w:tc>
        <w:tc>
          <w:tcPr>
            <w:tcW w:w="1172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2,6 a 5,0</w:t>
            </w:r>
          </w:p>
        </w:tc>
        <w:tc>
          <w:tcPr>
            <w:tcW w:w="1229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1,1 a 2,5</w:t>
            </w:r>
          </w:p>
        </w:tc>
        <w:tc>
          <w:tcPr>
            <w:tcW w:w="726" w:type="dxa"/>
            <w:vAlign w:val="center"/>
          </w:tcPr>
          <w:p w:rsidR="00300D20" w:rsidRPr="0052679E" w:rsidRDefault="00300D20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</w:tr>
      <w:tr w:rsidR="00E5556D" w:rsidRPr="0052679E" w:rsidTr="00300D20">
        <w:tc>
          <w:tcPr>
            <w:tcW w:w="1740" w:type="dxa"/>
            <w:vMerge w:val="restart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Matéria orgânica</w:t>
            </w: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Argiloso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&lt;2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2,1 a 3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3,1 a 4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4,1 a 5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&gt;5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Textura média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1,1 a 2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2,1 a 3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3,1 a 4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&gt;4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Arenoso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&lt;0,5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0,5 a 1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1,1 a 2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2,1 a 3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&gt;3</w:t>
            </w:r>
          </w:p>
        </w:tc>
      </w:tr>
      <w:tr w:rsidR="00E5556D" w:rsidRPr="0052679E" w:rsidTr="00300D20">
        <w:tc>
          <w:tcPr>
            <w:tcW w:w="1740" w:type="dxa"/>
            <w:vMerge w:val="restart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Macronutrientes</w:t>
            </w:r>
            <w:proofErr w:type="spellEnd"/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proofErr w:type="spellStart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mehlic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5 a 10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10,1 a 20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20,1 a 30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P resina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&lt;6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6 a 12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12,1 a 30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30,1 a 60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&gt;60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&lt;2,5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2,5 a 5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5,1 a 10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10,1 a 20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&gt;20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K na CTC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&lt;1,5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1,5 a 3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3,1 a 5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5,1 a 7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&gt;7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Mg na CTC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5 a 10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10,1 a 15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15,1 a 20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&gt;20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Ca na CTC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&lt;10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10 a 20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20,1 a 40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40,1 a 60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&gt;60</w:t>
            </w:r>
          </w:p>
        </w:tc>
      </w:tr>
      <w:tr w:rsidR="00E5556D" w:rsidRPr="0052679E" w:rsidTr="00300D20">
        <w:tc>
          <w:tcPr>
            <w:tcW w:w="1740" w:type="dxa"/>
            <w:vMerge w:val="restart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Micronutrientes</w:t>
            </w:r>
          </w:p>
        </w:tc>
        <w:tc>
          <w:tcPr>
            <w:tcW w:w="180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Zn DPTA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 1,25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1,25 a 2,5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2,6 a 3,7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3,8 a 7,5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&gt;7,5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300D20" w:rsidRDefault="00E5556D" w:rsidP="00300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 xml:space="preserve">Zn </w:t>
            </w:r>
            <w:proofErr w:type="spellStart"/>
            <w:r w:rsidR="00300D20" w:rsidRPr="00300D2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ehlich</w:t>
            </w:r>
            <w:proofErr w:type="spellEnd"/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&lt;2,5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2,5 a 5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5,1 a 7,5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7,6 a 15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&gt;15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B Água quente</w:t>
            </w:r>
          </w:p>
        </w:tc>
        <w:tc>
          <w:tcPr>
            <w:tcW w:w="116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&lt;0,2</w:t>
            </w:r>
          </w:p>
        </w:tc>
        <w:tc>
          <w:tcPr>
            <w:tcW w:w="1165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0,2 a 0,4</w:t>
            </w:r>
          </w:p>
        </w:tc>
        <w:tc>
          <w:tcPr>
            <w:tcW w:w="1172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0,41 a 0,6</w:t>
            </w:r>
          </w:p>
        </w:tc>
        <w:tc>
          <w:tcPr>
            <w:tcW w:w="1229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0,61 a 1,5</w:t>
            </w:r>
          </w:p>
        </w:tc>
        <w:tc>
          <w:tcPr>
            <w:tcW w:w="726" w:type="dxa"/>
            <w:vAlign w:val="center"/>
          </w:tcPr>
          <w:p w:rsidR="00E5556D" w:rsidRPr="00300D20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D20">
              <w:rPr>
                <w:rFonts w:ascii="Times New Roman" w:hAnsi="Times New Roman" w:cs="Times New Roman"/>
                <w:sz w:val="20"/>
                <w:szCs w:val="20"/>
              </w:rPr>
              <w:t>&gt;1,5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proofErr w:type="spellStart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JCl</w:t>
            </w:r>
            <w:proofErr w:type="spellEnd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 xml:space="preserve"> 0,05 N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&lt;0,3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0,3 a 0,5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0,51 a 0,7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0,71 a 2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Cu DPTA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&lt;0,2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0,2 a 0,4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0,41 a 0,6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0,61 a 1,5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&gt;1,5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 xml:space="preserve">Cu </w:t>
            </w:r>
            <w:proofErr w:type="spellStart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Mehlic</w:t>
            </w:r>
            <w:proofErr w:type="spellEnd"/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&lt;0,4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0,4 a 0,8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0,81 a 1,2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1,21 a 3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&gt;3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Mn DPTA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&lt;2,5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2,5 a 5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5,1 a 7,5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7,6 a 15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&gt;15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 xml:space="preserve">Mn </w:t>
            </w:r>
            <w:proofErr w:type="spellStart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Mehlic</w:t>
            </w:r>
            <w:proofErr w:type="spellEnd"/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5 a 10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10,1 a 15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15,1 a 20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&gt;20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Fe DPTA</w:t>
            </w:r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&lt;5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5 a 10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10,1 a 15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15,1 a 20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&gt;20</w:t>
            </w:r>
          </w:p>
        </w:tc>
      </w:tr>
      <w:tr w:rsidR="00E5556D" w:rsidRPr="0052679E" w:rsidTr="00300D20">
        <w:tc>
          <w:tcPr>
            <w:tcW w:w="1740" w:type="dxa"/>
            <w:vMerge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 xml:space="preserve">Fe </w:t>
            </w:r>
            <w:proofErr w:type="spellStart"/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Mehlich</w:t>
            </w:r>
            <w:proofErr w:type="spellEnd"/>
          </w:p>
        </w:tc>
        <w:tc>
          <w:tcPr>
            <w:tcW w:w="116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&lt;10</w:t>
            </w:r>
          </w:p>
        </w:tc>
        <w:tc>
          <w:tcPr>
            <w:tcW w:w="1165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10 a 20</w:t>
            </w:r>
          </w:p>
        </w:tc>
        <w:tc>
          <w:tcPr>
            <w:tcW w:w="1172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20,1 a 30</w:t>
            </w:r>
          </w:p>
        </w:tc>
        <w:tc>
          <w:tcPr>
            <w:tcW w:w="1229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30,1 a 40</w:t>
            </w:r>
          </w:p>
        </w:tc>
        <w:tc>
          <w:tcPr>
            <w:tcW w:w="726" w:type="dxa"/>
            <w:vAlign w:val="center"/>
          </w:tcPr>
          <w:p w:rsidR="00E5556D" w:rsidRPr="0052679E" w:rsidRDefault="00E5556D" w:rsidP="00405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9E">
              <w:rPr>
                <w:rFonts w:ascii="Times New Roman" w:hAnsi="Times New Roman" w:cs="Times New Roman"/>
                <w:sz w:val="20"/>
                <w:szCs w:val="20"/>
              </w:rPr>
              <w:t>&gt;40</w:t>
            </w:r>
          </w:p>
        </w:tc>
      </w:tr>
    </w:tbl>
    <w:p w:rsidR="00E5556D" w:rsidRPr="00EB15C2" w:rsidRDefault="00E5556D" w:rsidP="00EB1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B15C2">
        <w:rPr>
          <w:rFonts w:ascii="Times New Roman" w:hAnsi="Times New Roman" w:cs="Times New Roman"/>
          <w:sz w:val="20"/>
          <w:szCs w:val="20"/>
        </w:rPr>
        <w:t>*Solos argilosos possuem &gt;35% de argila; solos de textura média possuem 15 a 35% de argila e solos arenosos possuem &lt; 15% de argila.</w:t>
      </w:r>
    </w:p>
    <w:p w:rsidR="00E5556D" w:rsidRPr="00EB15C2" w:rsidRDefault="00E5556D" w:rsidP="00EB1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5C2">
        <w:rPr>
          <w:rFonts w:ascii="Times New Roman" w:hAnsi="Times New Roman" w:cs="Times New Roman"/>
          <w:sz w:val="20"/>
          <w:szCs w:val="20"/>
        </w:rPr>
        <w:t>** Resultados de pH em água, Al, H</w:t>
      </w:r>
      <w:r w:rsidRPr="00EB15C2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EB15C2">
        <w:rPr>
          <w:rFonts w:ascii="Times New Roman" w:hAnsi="Times New Roman" w:cs="Times New Roman"/>
          <w:sz w:val="20"/>
          <w:szCs w:val="20"/>
        </w:rPr>
        <w:t xml:space="preserve">, K, Mg, Ca, CTC em </w:t>
      </w:r>
      <w:proofErr w:type="spellStart"/>
      <w:r w:rsidRPr="00EB15C2">
        <w:rPr>
          <w:rFonts w:ascii="Times New Roman" w:hAnsi="Times New Roman" w:cs="Times New Roman"/>
          <w:sz w:val="20"/>
          <w:szCs w:val="20"/>
        </w:rPr>
        <w:t>cmolc</w:t>
      </w:r>
      <w:proofErr w:type="spellEnd"/>
      <w:r w:rsidRPr="00EB15C2">
        <w:rPr>
          <w:rFonts w:ascii="Times New Roman" w:hAnsi="Times New Roman" w:cs="Times New Roman"/>
          <w:sz w:val="20"/>
          <w:szCs w:val="20"/>
        </w:rPr>
        <w:t>/dm</w:t>
      </w:r>
      <w:r w:rsidRPr="00EB15C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B15C2">
        <w:rPr>
          <w:rFonts w:ascii="Times New Roman" w:hAnsi="Times New Roman" w:cs="Times New Roman"/>
          <w:sz w:val="20"/>
          <w:szCs w:val="20"/>
        </w:rPr>
        <w:t>. Zn, B, Cu, Mn, P e S em mg/dm</w:t>
      </w:r>
      <w:r w:rsidRPr="00EB15C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B15C2">
        <w:rPr>
          <w:rFonts w:ascii="Times New Roman" w:hAnsi="Times New Roman" w:cs="Times New Roman"/>
          <w:sz w:val="20"/>
          <w:szCs w:val="20"/>
        </w:rPr>
        <w:t>.</w:t>
      </w:r>
    </w:p>
    <w:p w:rsidR="00E5556D" w:rsidRPr="00EB15C2" w:rsidRDefault="00E5556D" w:rsidP="00EB1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5C2">
        <w:rPr>
          <w:rFonts w:ascii="Times New Roman" w:hAnsi="Times New Roman" w:cs="Times New Roman"/>
          <w:sz w:val="20"/>
          <w:szCs w:val="20"/>
        </w:rPr>
        <w:t>Extraído de Santinato &amp; Santinato, (2019).</w:t>
      </w:r>
    </w:p>
    <w:bookmarkEnd w:id="0"/>
    <w:p w:rsidR="0052679E" w:rsidRPr="00942919" w:rsidRDefault="0052679E" w:rsidP="00205013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52679E" w:rsidRPr="00942919" w:rsidSect="00B80EF8">
      <w:headerReference w:type="default" r:id="rId7"/>
      <w:pgSz w:w="11906" w:h="16838"/>
      <w:pgMar w:top="567" w:right="1701" w:bottom="1417" w:left="1418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94" w:rsidRDefault="00A00594" w:rsidP="0030042B">
      <w:pPr>
        <w:spacing w:after="0" w:line="240" w:lineRule="auto"/>
      </w:pPr>
      <w:r>
        <w:separator/>
      </w:r>
    </w:p>
  </w:endnote>
  <w:endnote w:type="continuationSeparator" w:id="0">
    <w:p w:rsidR="00A00594" w:rsidRDefault="00A00594" w:rsidP="0030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94" w:rsidRDefault="00A00594" w:rsidP="0030042B">
      <w:pPr>
        <w:spacing w:after="0" w:line="240" w:lineRule="auto"/>
      </w:pPr>
      <w:r>
        <w:separator/>
      </w:r>
    </w:p>
  </w:footnote>
  <w:footnote w:type="continuationSeparator" w:id="0">
    <w:p w:rsidR="00A00594" w:rsidRDefault="00A00594" w:rsidP="0030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26" w:rsidRDefault="00405D26" w:rsidP="007875EC">
    <w:pPr>
      <w:tabs>
        <w:tab w:val="left" w:pos="1214"/>
      </w:tabs>
      <w:rPr>
        <w:rFonts w:ascii="French Script MT" w:hAnsi="French Script MT"/>
        <w:sz w:val="40"/>
        <w:szCs w:val="40"/>
      </w:rPr>
    </w:pPr>
    <w:r>
      <w:rPr>
        <w:rFonts w:ascii="French Script MT" w:hAnsi="French Script MT"/>
        <w:noProof/>
        <w:sz w:val="40"/>
        <w:szCs w:val="40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.95pt;margin-top:-95.5pt;width:76.3pt;height:84.85pt;z-index:-251658752;mso-position-horizontal-relative:margin;mso-position-vertical-relative:margin">
          <v:imagedata r:id="rId1" o:title=""/>
          <w10:wrap anchorx="margin" anchory="margin"/>
        </v:shape>
        <o:OLEObject Type="Embed" ProgID="PBrush" ShapeID="_x0000_s2050" DrawAspect="Content" ObjectID="_1669200714" r:id="rId2"/>
      </w:object>
    </w:r>
  </w:p>
  <w:p w:rsidR="00405D26" w:rsidRPr="00154918" w:rsidRDefault="00405D26" w:rsidP="0030042B">
    <w:pPr>
      <w:jc w:val="center"/>
      <w:rPr>
        <w:rFonts w:ascii="French Script MT" w:hAnsi="French Script MT"/>
        <w:b/>
        <w:sz w:val="36"/>
        <w:szCs w:val="36"/>
      </w:rPr>
    </w:pPr>
    <w:r>
      <w:rPr>
        <w:rFonts w:ascii="French Script MT" w:hAnsi="French Script MT"/>
        <w:b/>
        <w:sz w:val="36"/>
        <w:szCs w:val="36"/>
      </w:rPr>
      <w:t xml:space="preserve">              </w:t>
    </w:r>
    <w:r w:rsidRPr="007D01BA">
      <w:rPr>
        <w:rFonts w:ascii="French Script MT" w:hAnsi="French Script MT"/>
        <w:b/>
        <w:sz w:val="36"/>
        <w:szCs w:val="36"/>
      </w:rPr>
      <w:t xml:space="preserve">Santinato &amp; </w:t>
    </w:r>
    <w:proofErr w:type="spellStart"/>
    <w:r w:rsidRPr="007D01BA">
      <w:rPr>
        <w:rFonts w:ascii="French Script MT" w:hAnsi="French Script MT"/>
        <w:b/>
        <w:sz w:val="36"/>
        <w:szCs w:val="36"/>
      </w:rPr>
      <w:t>Santinato</w:t>
    </w:r>
    <w:proofErr w:type="spellEnd"/>
    <w:r w:rsidRPr="007D01BA">
      <w:rPr>
        <w:rFonts w:ascii="French Script MT" w:hAnsi="French Script MT"/>
        <w:b/>
        <w:sz w:val="36"/>
        <w:szCs w:val="36"/>
      </w:rPr>
      <w:t xml:space="preserve"> Cafés </w:t>
    </w:r>
    <w:proofErr w:type="spellStart"/>
    <w:r w:rsidRPr="007D01BA">
      <w:rPr>
        <w:rFonts w:ascii="French Script MT" w:hAnsi="French Script MT"/>
        <w:b/>
        <w:sz w:val="36"/>
        <w:szCs w:val="36"/>
      </w:rPr>
      <w:t>Ltda</w:t>
    </w:r>
    <w:proofErr w:type="spellEnd"/>
    <w:r w:rsidRPr="007D01BA">
      <w:rPr>
        <w:rFonts w:ascii="French Script MT" w:hAnsi="French Script MT"/>
        <w:b/>
        <w:sz w:val="36"/>
        <w:szCs w:val="36"/>
      </w:rPr>
      <w:t xml:space="preserve"> – Pesquisa &amp;</w:t>
    </w:r>
    <w:r>
      <w:rPr>
        <w:rFonts w:ascii="French Script MT" w:hAnsi="French Script MT"/>
        <w:b/>
        <w:sz w:val="36"/>
        <w:szCs w:val="36"/>
      </w:rPr>
      <w:t xml:space="preserve"> C</w:t>
    </w:r>
    <w:r w:rsidRPr="007D01BA">
      <w:rPr>
        <w:rFonts w:ascii="French Script MT" w:hAnsi="French Script MT"/>
        <w:b/>
        <w:sz w:val="36"/>
        <w:szCs w:val="36"/>
      </w:rPr>
      <w:t>onsultoria</w:t>
    </w:r>
  </w:p>
  <w:p w:rsidR="00405D26" w:rsidRDefault="00405D26">
    <w:pPr>
      <w:pStyle w:val="Cabealho"/>
    </w:pPr>
  </w:p>
  <w:p w:rsidR="00405D26" w:rsidRDefault="00405D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6DA"/>
    <w:multiLevelType w:val="hybridMultilevel"/>
    <w:tmpl w:val="B6B83B02"/>
    <w:lvl w:ilvl="0" w:tplc="BDB2EA44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EC25B90"/>
    <w:multiLevelType w:val="hybridMultilevel"/>
    <w:tmpl w:val="2EF8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C08"/>
    <w:multiLevelType w:val="hybridMultilevel"/>
    <w:tmpl w:val="4F40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45F5"/>
    <w:multiLevelType w:val="hybridMultilevel"/>
    <w:tmpl w:val="096A84F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73931"/>
    <w:multiLevelType w:val="hybridMultilevel"/>
    <w:tmpl w:val="94EE1724"/>
    <w:lvl w:ilvl="0" w:tplc="2348C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844"/>
    <w:multiLevelType w:val="hybridMultilevel"/>
    <w:tmpl w:val="13C8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C84"/>
    <w:multiLevelType w:val="hybridMultilevel"/>
    <w:tmpl w:val="6548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60C0"/>
    <w:multiLevelType w:val="hybridMultilevel"/>
    <w:tmpl w:val="C9428BDC"/>
    <w:lvl w:ilvl="0" w:tplc="62D87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368AE"/>
    <w:multiLevelType w:val="hybridMultilevel"/>
    <w:tmpl w:val="B2A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F472B"/>
    <w:multiLevelType w:val="hybridMultilevel"/>
    <w:tmpl w:val="EB607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46083"/>
    <w:multiLevelType w:val="hybridMultilevel"/>
    <w:tmpl w:val="D39C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41176"/>
    <w:multiLevelType w:val="hybridMultilevel"/>
    <w:tmpl w:val="495A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3907"/>
    <w:multiLevelType w:val="hybridMultilevel"/>
    <w:tmpl w:val="5A480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D1D18"/>
    <w:multiLevelType w:val="hybridMultilevel"/>
    <w:tmpl w:val="FF6A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436E"/>
    <w:multiLevelType w:val="hybridMultilevel"/>
    <w:tmpl w:val="96F841D4"/>
    <w:lvl w:ilvl="0" w:tplc="1896A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83349"/>
    <w:multiLevelType w:val="hybridMultilevel"/>
    <w:tmpl w:val="B6B83B02"/>
    <w:lvl w:ilvl="0" w:tplc="BDB2EA44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72520DD3"/>
    <w:multiLevelType w:val="hybridMultilevel"/>
    <w:tmpl w:val="58902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980F67"/>
    <w:multiLevelType w:val="hybridMultilevel"/>
    <w:tmpl w:val="493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B58FD"/>
    <w:multiLevelType w:val="hybridMultilevel"/>
    <w:tmpl w:val="95DCA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B02AC"/>
    <w:multiLevelType w:val="hybridMultilevel"/>
    <w:tmpl w:val="4E76653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D48FC"/>
    <w:multiLevelType w:val="hybridMultilevel"/>
    <w:tmpl w:val="9436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3"/>
  </w:num>
  <w:num w:numId="5">
    <w:abstractNumId w:val="5"/>
  </w:num>
  <w:num w:numId="6">
    <w:abstractNumId w:val="14"/>
  </w:num>
  <w:num w:numId="7">
    <w:abstractNumId w:val="12"/>
  </w:num>
  <w:num w:numId="8">
    <w:abstractNumId w:val="4"/>
  </w:num>
  <w:num w:numId="9">
    <w:abstractNumId w:val="9"/>
  </w:num>
  <w:num w:numId="10">
    <w:abstractNumId w:val="19"/>
  </w:num>
  <w:num w:numId="11">
    <w:abstractNumId w:val="16"/>
  </w:num>
  <w:num w:numId="12">
    <w:abstractNumId w:val="17"/>
  </w:num>
  <w:num w:numId="13">
    <w:abstractNumId w:val="6"/>
  </w:num>
  <w:num w:numId="14">
    <w:abstractNumId w:val="10"/>
  </w:num>
  <w:num w:numId="15">
    <w:abstractNumId w:val="1"/>
  </w:num>
  <w:num w:numId="16">
    <w:abstractNumId w:val="8"/>
  </w:num>
  <w:num w:numId="17">
    <w:abstractNumId w:val="7"/>
  </w:num>
  <w:num w:numId="18">
    <w:abstractNumId w:val="18"/>
  </w:num>
  <w:num w:numId="19">
    <w:abstractNumId w:val="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9"/>
    <w:rsid w:val="000048B0"/>
    <w:rsid w:val="0000587E"/>
    <w:rsid w:val="00010D4B"/>
    <w:rsid w:val="00020FC9"/>
    <w:rsid w:val="00034017"/>
    <w:rsid w:val="000356A1"/>
    <w:rsid w:val="00036A36"/>
    <w:rsid w:val="00042D36"/>
    <w:rsid w:val="0004322B"/>
    <w:rsid w:val="0004625F"/>
    <w:rsid w:val="00053FCD"/>
    <w:rsid w:val="00067BF6"/>
    <w:rsid w:val="00075823"/>
    <w:rsid w:val="00081219"/>
    <w:rsid w:val="000A0A06"/>
    <w:rsid w:val="000A4550"/>
    <w:rsid w:val="000A79A9"/>
    <w:rsid w:val="000B35B2"/>
    <w:rsid w:val="000C0F5E"/>
    <w:rsid w:val="000D186A"/>
    <w:rsid w:val="000D5B51"/>
    <w:rsid w:val="000E5ACE"/>
    <w:rsid w:val="000F5753"/>
    <w:rsid w:val="00104F59"/>
    <w:rsid w:val="0010558C"/>
    <w:rsid w:val="00112EDF"/>
    <w:rsid w:val="00123B13"/>
    <w:rsid w:val="00125AF8"/>
    <w:rsid w:val="00132283"/>
    <w:rsid w:val="0014547A"/>
    <w:rsid w:val="00150221"/>
    <w:rsid w:val="00154918"/>
    <w:rsid w:val="00156392"/>
    <w:rsid w:val="001570B3"/>
    <w:rsid w:val="0016104A"/>
    <w:rsid w:val="00161C77"/>
    <w:rsid w:val="0016580B"/>
    <w:rsid w:val="00167A8C"/>
    <w:rsid w:val="001734AC"/>
    <w:rsid w:val="00182125"/>
    <w:rsid w:val="0018247F"/>
    <w:rsid w:val="00185EED"/>
    <w:rsid w:val="00192D52"/>
    <w:rsid w:val="0019557E"/>
    <w:rsid w:val="001A006A"/>
    <w:rsid w:val="001A6439"/>
    <w:rsid w:val="001A7697"/>
    <w:rsid w:val="001B0A9D"/>
    <w:rsid w:val="001D2B8A"/>
    <w:rsid w:val="002000FA"/>
    <w:rsid w:val="00205013"/>
    <w:rsid w:val="00205B69"/>
    <w:rsid w:val="002078F3"/>
    <w:rsid w:val="00210B7D"/>
    <w:rsid w:val="00212A83"/>
    <w:rsid w:val="00236A92"/>
    <w:rsid w:val="00245D07"/>
    <w:rsid w:val="00253A5F"/>
    <w:rsid w:val="002571BA"/>
    <w:rsid w:val="00260882"/>
    <w:rsid w:val="0027345B"/>
    <w:rsid w:val="00284745"/>
    <w:rsid w:val="00290D20"/>
    <w:rsid w:val="002A3967"/>
    <w:rsid w:val="002B126C"/>
    <w:rsid w:val="002B2B38"/>
    <w:rsid w:val="002B7363"/>
    <w:rsid w:val="002C24B8"/>
    <w:rsid w:val="002D0735"/>
    <w:rsid w:val="002D2380"/>
    <w:rsid w:val="002D4A39"/>
    <w:rsid w:val="002D7E4F"/>
    <w:rsid w:val="002E0886"/>
    <w:rsid w:val="002F0822"/>
    <w:rsid w:val="002F3997"/>
    <w:rsid w:val="00300331"/>
    <w:rsid w:val="0030042B"/>
    <w:rsid w:val="00300D20"/>
    <w:rsid w:val="0030393B"/>
    <w:rsid w:val="0031221B"/>
    <w:rsid w:val="00320023"/>
    <w:rsid w:val="00325CDD"/>
    <w:rsid w:val="003262A9"/>
    <w:rsid w:val="00330CF6"/>
    <w:rsid w:val="003534B1"/>
    <w:rsid w:val="00356711"/>
    <w:rsid w:val="00370A47"/>
    <w:rsid w:val="00374D03"/>
    <w:rsid w:val="00375B25"/>
    <w:rsid w:val="003774CA"/>
    <w:rsid w:val="003806A7"/>
    <w:rsid w:val="003842A0"/>
    <w:rsid w:val="003A229A"/>
    <w:rsid w:val="003A7177"/>
    <w:rsid w:val="003B044F"/>
    <w:rsid w:val="003B15DE"/>
    <w:rsid w:val="003B49F9"/>
    <w:rsid w:val="003C4D59"/>
    <w:rsid w:val="003D4BDC"/>
    <w:rsid w:val="003E11F9"/>
    <w:rsid w:val="003F5267"/>
    <w:rsid w:val="00405D26"/>
    <w:rsid w:val="004075CC"/>
    <w:rsid w:val="00410D1C"/>
    <w:rsid w:val="00413BDD"/>
    <w:rsid w:val="00415B06"/>
    <w:rsid w:val="00417D07"/>
    <w:rsid w:val="004514F8"/>
    <w:rsid w:val="00462959"/>
    <w:rsid w:val="00477150"/>
    <w:rsid w:val="00482740"/>
    <w:rsid w:val="004851DA"/>
    <w:rsid w:val="004864BA"/>
    <w:rsid w:val="004913E4"/>
    <w:rsid w:val="00492565"/>
    <w:rsid w:val="00493EB7"/>
    <w:rsid w:val="004A457D"/>
    <w:rsid w:val="004A54D2"/>
    <w:rsid w:val="004A5A07"/>
    <w:rsid w:val="004A6A6A"/>
    <w:rsid w:val="004B545E"/>
    <w:rsid w:val="004C244F"/>
    <w:rsid w:val="004C576C"/>
    <w:rsid w:val="004D5056"/>
    <w:rsid w:val="004E3B74"/>
    <w:rsid w:val="004E43CC"/>
    <w:rsid w:val="004E52BA"/>
    <w:rsid w:val="004F0461"/>
    <w:rsid w:val="004F59A5"/>
    <w:rsid w:val="005000E1"/>
    <w:rsid w:val="00500CC0"/>
    <w:rsid w:val="00502C26"/>
    <w:rsid w:val="005203E2"/>
    <w:rsid w:val="0052679E"/>
    <w:rsid w:val="0053480C"/>
    <w:rsid w:val="00535682"/>
    <w:rsid w:val="0054336E"/>
    <w:rsid w:val="00550635"/>
    <w:rsid w:val="005519AC"/>
    <w:rsid w:val="005570B2"/>
    <w:rsid w:val="00563CC0"/>
    <w:rsid w:val="00571322"/>
    <w:rsid w:val="005744FC"/>
    <w:rsid w:val="00575727"/>
    <w:rsid w:val="00596132"/>
    <w:rsid w:val="005B302D"/>
    <w:rsid w:val="005C6CEF"/>
    <w:rsid w:val="005C7740"/>
    <w:rsid w:val="005D29D2"/>
    <w:rsid w:val="005D3EA9"/>
    <w:rsid w:val="005E0003"/>
    <w:rsid w:val="005E30BC"/>
    <w:rsid w:val="005E4FED"/>
    <w:rsid w:val="005F386B"/>
    <w:rsid w:val="005F4B06"/>
    <w:rsid w:val="005F50FE"/>
    <w:rsid w:val="005F559E"/>
    <w:rsid w:val="00615FF5"/>
    <w:rsid w:val="006170C6"/>
    <w:rsid w:val="00621F2E"/>
    <w:rsid w:val="00622CA8"/>
    <w:rsid w:val="00623D94"/>
    <w:rsid w:val="00625349"/>
    <w:rsid w:val="006335BE"/>
    <w:rsid w:val="00634466"/>
    <w:rsid w:val="00636421"/>
    <w:rsid w:val="0065272E"/>
    <w:rsid w:val="0065789C"/>
    <w:rsid w:val="00685C7D"/>
    <w:rsid w:val="00695C98"/>
    <w:rsid w:val="006A64CA"/>
    <w:rsid w:val="006B5609"/>
    <w:rsid w:val="006C094B"/>
    <w:rsid w:val="006C224D"/>
    <w:rsid w:val="006C35BE"/>
    <w:rsid w:val="006C398F"/>
    <w:rsid w:val="006C3D27"/>
    <w:rsid w:val="006E0C0A"/>
    <w:rsid w:val="006E0E69"/>
    <w:rsid w:val="006E7232"/>
    <w:rsid w:val="006F65F8"/>
    <w:rsid w:val="007018E4"/>
    <w:rsid w:val="0070248A"/>
    <w:rsid w:val="00721BDF"/>
    <w:rsid w:val="00722284"/>
    <w:rsid w:val="00725753"/>
    <w:rsid w:val="00726921"/>
    <w:rsid w:val="00732647"/>
    <w:rsid w:val="00732D0A"/>
    <w:rsid w:val="00732FF1"/>
    <w:rsid w:val="0073496C"/>
    <w:rsid w:val="00741195"/>
    <w:rsid w:val="0074555E"/>
    <w:rsid w:val="00747D08"/>
    <w:rsid w:val="007508B3"/>
    <w:rsid w:val="007660AD"/>
    <w:rsid w:val="00770239"/>
    <w:rsid w:val="00774C8F"/>
    <w:rsid w:val="00775AA4"/>
    <w:rsid w:val="00777425"/>
    <w:rsid w:val="00781FA1"/>
    <w:rsid w:val="007875EC"/>
    <w:rsid w:val="00787962"/>
    <w:rsid w:val="00797BF0"/>
    <w:rsid w:val="007B42ED"/>
    <w:rsid w:val="007C469A"/>
    <w:rsid w:val="007C7B85"/>
    <w:rsid w:val="007D01BA"/>
    <w:rsid w:val="007D32B6"/>
    <w:rsid w:val="007E045D"/>
    <w:rsid w:val="007F7B2F"/>
    <w:rsid w:val="00821164"/>
    <w:rsid w:val="00822DF5"/>
    <w:rsid w:val="00826E57"/>
    <w:rsid w:val="0083404D"/>
    <w:rsid w:val="0084026B"/>
    <w:rsid w:val="00841FA8"/>
    <w:rsid w:val="00852506"/>
    <w:rsid w:val="00862F80"/>
    <w:rsid w:val="00863B2B"/>
    <w:rsid w:val="00877B5E"/>
    <w:rsid w:val="00883308"/>
    <w:rsid w:val="0089210B"/>
    <w:rsid w:val="0089743B"/>
    <w:rsid w:val="008B7617"/>
    <w:rsid w:val="008C0A8F"/>
    <w:rsid w:val="008C72E2"/>
    <w:rsid w:val="008C7E17"/>
    <w:rsid w:val="008E10A7"/>
    <w:rsid w:val="008E3A0F"/>
    <w:rsid w:val="008E3B5D"/>
    <w:rsid w:val="008E7DF7"/>
    <w:rsid w:val="00930EA0"/>
    <w:rsid w:val="00941ADF"/>
    <w:rsid w:val="00942919"/>
    <w:rsid w:val="00942C25"/>
    <w:rsid w:val="00943DD4"/>
    <w:rsid w:val="0094681C"/>
    <w:rsid w:val="00954CDE"/>
    <w:rsid w:val="0095716D"/>
    <w:rsid w:val="00960CF7"/>
    <w:rsid w:val="00966549"/>
    <w:rsid w:val="0096714E"/>
    <w:rsid w:val="0099387C"/>
    <w:rsid w:val="009A1B23"/>
    <w:rsid w:val="009A5253"/>
    <w:rsid w:val="009B43F6"/>
    <w:rsid w:val="009B5EBD"/>
    <w:rsid w:val="009B7D5B"/>
    <w:rsid w:val="009C247C"/>
    <w:rsid w:val="009D3D30"/>
    <w:rsid w:val="009E02A3"/>
    <w:rsid w:val="009E06AC"/>
    <w:rsid w:val="009E6B1F"/>
    <w:rsid w:val="009E7750"/>
    <w:rsid w:val="00A00594"/>
    <w:rsid w:val="00A147CE"/>
    <w:rsid w:val="00A21079"/>
    <w:rsid w:val="00A221AB"/>
    <w:rsid w:val="00A2542E"/>
    <w:rsid w:val="00A30A63"/>
    <w:rsid w:val="00A34DA3"/>
    <w:rsid w:val="00A35491"/>
    <w:rsid w:val="00A54732"/>
    <w:rsid w:val="00A57DC0"/>
    <w:rsid w:val="00A605A2"/>
    <w:rsid w:val="00A616C3"/>
    <w:rsid w:val="00A64F07"/>
    <w:rsid w:val="00A65B7A"/>
    <w:rsid w:val="00A82F66"/>
    <w:rsid w:val="00A83DC7"/>
    <w:rsid w:val="00A86C90"/>
    <w:rsid w:val="00A86CAE"/>
    <w:rsid w:val="00A94977"/>
    <w:rsid w:val="00AA120F"/>
    <w:rsid w:val="00AA2EED"/>
    <w:rsid w:val="00AA43C6"/>
    <w:rsid w:val="00AA7E5D"/>
    <w:rsid w:val="00AB1D7E"/>
    <w:rsid w:val="00AB60E4"/>
    <w:rsid w:val="00AD1CF6"/>
    <w:rsid w:val="00AD324A"/>
    <w:rsid w:val="00AE28A8"/>
    <w:rsid w:val="00AE7FBD"/>
    <w:rsid w:val="00AF1022"/>
    <w:rsid w:val="00AF40EA"/>
    <w:rsid w:val="00AF6BA4"/>
    <w:rsid w:val="00B028C7"/>
    <w:rsid w:val="00B10544"/>
    <w:rsid w:val="00B116CD"/>
    <w:rsid w:val="00B218C0"/>
    <w:rsid w:val="00B21AFD"/>
    <w:rsid w:val="00B2467E"/>
    <w:rsid w:val="00B367D0"/>
    <w:rsid w:val="00B43C92"/>
    <w:rsid w:val="00B44E48"/>
    <w:rsid w:val="00B454AF"/>
    <w:rsid w:val="00B478B3"/>
    <w:rsid w:val="00B520DB"/>
    <w:rsid w:val="00B52D47"/>
    <w:rsid w:val="00B6131A"/>
    <w:rsid w:val="00B61AC8"/>
    <w:rsid w:val="00B624A5"/>
    <w:rsid w:val="00B71117"/>
    <w:rsid w:val="00B7558F"/>
    <w:rsid w:val="00B77625"/>
    <w:rsid w:val="00B80EF8"/>
    <w:rsid w:val="00B81741"/>
    <w:rsid w:val="00B82A71"/>
    <w:rsid w:val="00B87317"/>
    <w:rsid w:val="00BA2803"/>
    <w:rsid w:val="00BA5D5C"/>
    <w:rsid w:val="00BB0143"/>
    <w:rsid w:val="00BB54CD"/>
    <w:rsid w:val="00BB555D"/>
    <w:rsid w:val="00BB618B"/>
    <w:rsid w:val="00BB7175"/>
    <w:rsid w:val="00BB7B44"/>
    <w:rsid w:val="00BD2BB5"/>
    <w:rsid w:val="00BD6A13"/>
    <w:rsid w:val="00BD79CD"/>
    <w:rsid w:val="00BF078F"/>
    <w:rsid w:val="00C01835"/>
    <w:rsid w:val="00C02CA7"/>
    <w:rsid w:val="00C13C85"/>
    <w:rsid w:val="00C152B1"/>
    <w:rsid w:val="00C16636"/>
    <w:rsid w:val="00C23D75"/>
    <w:rsid w:val="00C31790"/>
    <w:rsid w:val="00C327F5"/>
    <w:rsid w:val="00C376DB"/>
    <w:rsid w:val="00C419A9"/>
    <w:rsid w:val="00C5363F"/>
    <w:rsid w:val="00C71E94"/>
    <w:rsid w:val="00C750CF"/>
    <w:rsid w:val="00C81DDF"/>
    <w:rsid w:val="00C872D1"/>
    <w:rsid w:val="00C94CFE"/>
    <w:rsid w:val="00CB4600"/>
    <w:rsid w:val="00CB6B39"/>
    <w:rsid w:val="00CC099A"/>
    <w:rsid w:val="00CC0BA4"/>
    <w:rsid w:val="00CC0DA8"/>
    <w:rsid w:val="00CC6B55"/>
    <w:rsid w:val="00CD07B8"/>
    <w:rsid w:val="00CD6920"/>
    <w:rsid w:val="00CE6875"/>
    <w:rsid w:val="00CF081A"/>
    <w:rsid w:val="00D0204A"/>
    <w:rsid w:val="00D02AD4"/>
    <w:rsid w:val="00D05407"/>
    <w:rsid w:val="00D07808"/>
    <w:rsid w:val="00D0798A"/>
    <w:rsid w:val="00D10504"/>
    <w:rsid w:val="00D16430"/>
    <w:rsid w:val="00D23A0F"/>
    <w:rsid w:val="00D30815"/>
    <w:rsid w:val="00D334A4"/>
    <w:rsid w:val="00D428C0"/>
    <w:rsid w:val="00D5049F"/>
    <w:rsid w:val="00D51521"/>
    <w:rsid w:val="00D534FD"/>
    <w:rsid w:val="00D53D50"/>
    <w:rsid w:val="00D55AF5"/>
    <w:rsid w:val="00D606B7"/>
    <w:rsid w:val="00D61546"/>
    <w:rsid w:val="00D64606"/>
    <w:rsid w:val="00D64F32"/>
    <w:rsid w:val="00D71C2A"/>
    <w:rsid w:val="00D72C3D"/>
    <w:rsid w:val="00D7750A"/>
    <w:rsid w:val="00D854B9"/>
    <w:rsid w:val="00D86DD8"/>
    <w:rsid w:val="00D8725B"/>
    <w:rsid w:val="00D96BE9"/>
    <w:rsid w:val="00D97D7F"/>
    <w:rsid w:val="00DB4578"/>
    <w:rsid w:val="00DC1FD2"/>
    <w:rsid w:val="00DD0287"/>
    <w:rsid w:val="00DD3606"/>
    <w:rsid w:val="00DD61FB"/>
    <w:rsid w:val="00DE4FA6"/>
    <w:rsid w:val="00DE6830"/>
    <w:rsid w:val="00DE6A9E"/>
    <w:rsid w:val="00DF26BE"/>
    <w:rsid w:val="00DF2AAE"/>
    <w:rsid w:val="00DF755E"/>
    <w:rsid w:val="00E00B71"/>
    <w:rsid w:val="00E01286"/>
    <w:rsid w:val="00E04CF3"/>
    <w:rsid w:val="00E04D32"/>
    <w:rsid w:val="00E05E0A"/>
    <w:rsid w:val="00E1046C"/>
    <w:rsid w:val="00E1353E"/>
    <w:rsid w:val="00E208E6"/>
    <w:rsid w:val="00E2348E"/>
    <w:rsid w:val="00E27913"/>
    <w:rsid w:val="00E34A34"/>
    <w:rsid w:val="00E367D9"/>
    <w:rsid w:val="00E36B7A"/>
    <w:rsid w:val="00E402BF"/>
    <w:rsid w:val="00E40321"/>
    <w:rsid w:val="00E5556D"/>
    <w:rsid w:val="00E5759D"/>
    <w:rsid w:val="00E62E83"/>
    <w:rsid w:val="00E856B5"/>
    <w:rsid w:val="00E8686D"/>
    <w:rsid w:val="00E91690"/>
    <w:rsid w:val="00EA07D4"/>
    <w:rsid w:val="00EA7A55"/>
    <w:rsid w:val="00EA7D6B"/>
    <w:rsid w:val="00EB15C2"/>
    <w:rsid w:val="00EB6429"/>
    <w:rsid w:val="00EC1579"/>
    <w:rsid w:val="00ED450C"/>
    <w:rsid w:val="00EF7825"/>
    <w:rsid w:val="00F2713D"/>
    <w:rsid w:val="00F329B2"/>
    <w:rsid w:val="00F42AFE"/>
    <w:rsid w:val="00F5008B"/>
    <w:rsid w:val="00F50833"/>
    <w:rsid w:val="00F53259"/>
    <w:rsid w:val="00F53804"/>
    <w:rsid w:val="00F56CA3"/>
    <w:rsid w:val="00F61D88"/>
    <w:rsid w:val="00F6368A"/>
    <w:rsid w:val="00F678D1"/>
    <w:rsid w:val="00F75EEB"/>
    <w:rsid w:val="00F800EC"/>
    <w:rsid w:val="00F813E1"/>
    <w:rsid w:val="00F842DD"/>
    <w:rsid w:val="00F84B54"/>
    <w:rsid w:val="00FD2AAD"/>
    <w:rsid w:val="00FD7C8D"/>
    <w:rsid w:val="00FE2B52"/>
    <w:rsid w:val="00FE657D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4ABCD1"/>
  <w15:docId w15:val="{73791200-2788-44E0-9C81-C7912BA7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B1F"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rsid w:val="005E4FED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Corpodetexto">
    <w:name w:val="Body Text"/>
    <w:basedOn w:val="Normal"/>
    <w:link w:val="CorpodetextoChar"/>
    <w:rsid w:val="005E4F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E4FE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Hyperlink">
    <w:name w:val="Hyperlink"/>
    <w:basedOn w:val="Fontepargpadro"/>
    <w:uiPriority w:val="99"/>
    <w:unhideWhenUsed/>
    <w:rsid w:val="007D01B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0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30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0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42B"/>
  </w:style>
  <w:style w:type="paragraph" w:styleId="Rodap">
    <w:name w:val="footer"/>
    <w:basedOn w:val="Normal"/>
    <w:link w:val="RodapChar"/>
    <w:uiPriority w:val="99"/>
    <w:unhideWhenUsed/>
    <w:rsid w:val="0030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14</Pages>
  <Words>3878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3855-1169</dc:creator>
  <cp:lastModifiedBy>Usuário</cp:lastModifiedBy>
  <cp:revision>221</cp:revision>
  <dcterms:created xsi:type="dcterms:W3CDTF">2018-06-21T18:56:00Z</dcterms:created>
  <dcterms:modified xsi:type="dcterms:W3CDTF">2020-12-11T17:05:00Z</dcterms:modified>
</cp:coreProperties>
</file>